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年度化德县人民检察院</w:t>
      </w:r>
    </w:p>
    <w:p>
      <w:pPr>
        <w:spacing w:line="360" w:lineRule="auto"/>
        <w:jc w:val="center"/>
        <w:rPr>
          <w:rFonts w:ascii="宋体" w:hAnsi="宋体"/>
          <w:b/>
          <w:bCs/>
          <w:sz w:val="52"/>
          <w:szCs w:val="52"/>
        </w:rPr>
      </w:pPr>
      <w:r>
        <w:rPr>
          <w:rFonts w:hint="eastAsia" w:ascii="宋体" w:hAnsi="宋体"/>
          <w:b/>
          <w:bCs/>
          <w:sz w:val="52"/>
          <w:szCs w:val="52"/>
        </w:rPr>
        <w:t>公开报告</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ind w:firstLine="2240" w:firstLineChars="700"/>
        <w:jc w:val="left"/>
        <w:rPr>
          <w:rFonts w:ascii="宋体" w:hAnsi="宋体"/>
          <w:sz w:val="32"/>
          <w:szCs w:val="32"/>
        </w:rPr>
      </w:pPr>
      <w:r>
        <w:rPr>
          <w:rFonts w:hint="eastAsia" w:ascii="宋体" w:hAnsi="宋体"/>
          <w:sz w:val="32"/>
          <w:szCs w:val="32"/>
        </w:rPr>
        <w:t>部门（单位）名称：化德县人民检察院</w:t>
      </w:r>
    </w:p>
    <w:p>
      <w:pPr>
        <w:spacing w:line="360" w:lineRule="auto"/>
        <w:ind w:firstLine="2240" w:firstLineChars="700"/>
        <w:jc w:val="left"/>
        <w:rPr>
          <w:rFonts w:ascii="宋体" w:hAnsi="宋体"/>
          <w:sz w:val="32"/>
          <w:szCs w:val="32"/>
        </w:rPr>
      </w:pPr>
      <w:r>
        <w:rPr>
          <w:rFonts w:hint="eastAsia" w:ascii="宋体" w:hAnsi="宋体"/>
          <w:sz w:val="32"/>
          <w:szCs w:val="32"/>
        </w:rPr>
        <w:t>单位负责人：尹旭东</w:t>
      </w:r>
    </w:p>
    <w:p>
      <w:pPr>
        <w:spacing w:line="360" w:lineRule="auto"/>
        <w:ind w:firstLine="2240" w:firstLineChars="700"/>
        <w:jc w:val="left"/>
        <w:rPr>
          <w:rFonts w:hint="eastAsia" w:ascii="宋体" w:hAnsi="宋体" w:eastAsia="宋体"/>
          <w:sz w:val="32"/>
          <w:szCs w:val="32"/>
          <w:lang w:eastAsia="zh-CN"/>
        </w:rPr>
      </w:pPr>
      <w:r>
        <w:rPr>
          <w:rFonts w:hint="eastAsia" w:ascii="宋体" w:hAnsi="宋体"/>
          <w:sz w:val="32"/>
          <w:szCs w:val="32"/>
        </w:rPr>
        <w:t>财务负责人：</w:t>
      </w:r>
      <w:r>
        <w:rPr>
          <w:rFonts w:hint="eastAsia" w:ascii="宋体" w:hAnsi="宋体"/>
          <w:sz w:val="32"/>
          <w:szCs w:val="32"/>
          <w:lang w:val="en-US" w:eastAsia="zh-CN"/>
        </w:rPr>
        <w:t>白君华</w:t>
      </w:r>
    </w:p>
    <w:p>
      <w:pPr>
        <w:spacing w:line="360" w:lineRule="auto"/>
        <w:ind w:firstLine="2240" w:firstLineChars="700"/>
        <w:jc w:val="left"/>
        <w:rPr>
          <w:rFonts w:ascii="宋体" w:hAnsi="宋体"/>
          <w:sz w:val="32"/>
          <w:szCs w:val="32"/>
        </w:rPr>
      </w:pPr>
      <w:r>
        <w:rPr>
          <w:rFonts w:hint="eastAsia" w:ascii="宋体" w:hAnsi="宋体"/>
          <w:sz w:val="32"/>
          <w:szCs w:val="32"/>
        </w:rPr>
        <w:t>编</w:t>
      </w:r>
      <w:r>
        <w:rPr>
          <w:rFonts w:hint="eastAsia" w:ascii="宋体" w:hAnsi="宋体"/>
          <w:sz w:val="32"/>
          <w:szCs w:val="32"/>
          <w:lang w:val="en-US" w:eastAsia="zh-CN"/>
        </w:rPr>
        <w:t xml:space="preserve">  </w:t>
      </w:r>
      <w:r>
        <w:rPr>
          <w:rFonts w:hint="eastAsia" w:ascii="宋体" w:hAnsi="宋体"/>
          <w:sz w:val="32"/>
          <w:szCs w:val="32"/>
        </w:rPr>
        <w:t>制</w:t>
      </w:r>
      <w:r>
        <w:rPr>
          <w:rFonts w:hint="eastAsia" w:ascii="宋体" w:hAnsi="宋体"/>
          <w:sz w:val="32"/>
          <w:szCs w:val="32"/>
          <w:lang w:val="en-US" w:eastAsia="zh-CN"/>
        </w:rPr>
        <w:t xml:space="preserve"> </w:t>
      </w:r>
      <w:r>
        <w:rPr>
          <w:rFonts w:hint="eastAsia" w:ascii="宋体" w:hAnsi="宋体"/>
          <w:sz w:val="32"/>
          <w:szCs w:val="32"/>
        </w:rPr>
        <w:t>人：</w:t>
      </w:r>
      <w:r>
        <w:rPr>
          <w:rFonts w:hint="eastAsia" w:ascii="宋体" w:hAnsi="宋体"/>
          <w:sz w:val="32"/>
          <w:szCs w:val="32"/>
          <w:lang w:val="en-US" w:eastAsia="zh-CN"/>
        </w:rPr>
        <w:t xml:space="preserve"> </w:t>
      </w:r>
      <w:r>
        <w:rPr>
          <w:rFonts w:hint="eastAsia" w:ascii="宋体" w:hAnsi="宋体"/>
          <w:sz w:val="32"/>
          <w:szCs w:val="32"/>
        </w:rPr>
        <w:t>常艳华</w:t>
      </w:r>
    </w:p>
    <w:p>
      <w:pPr>
        <w:spacing w:line="360" w:lineRule="auto"/>
        <w:ind w:firstLine="2240" w:firstLineChars="700"/>
        <w:jc w:val="left"/>
        <w:rPr>
          <w:rFonts w:hint="default" w:ascii="仿宋" w:hAnsi="仿宋" w:eastAsia="仿宋"/>
          <w:b/>
          <w:sz w:val="32"/>
          <w:szCs w:val="32"/>
          <w:lang w:val="en-US"/>
        </w:rPr>
        <w:sectPr>
          <w:footerReference r:id="rId3" w:type="default"/>
          <w:pgSz w:w="11906" w:h="16838"/>
          <w:pgMar w:top="1440" w:right="1083" w:bottom="1440" w:left="1083" w:header="0" w:footer="720" w:gutter="0"/>
          <w:cols w:space="425" w:num="1"/>
          <w:docGrid w:type="lines" w:linePitch="312" w:charSpace="0"/>
        </w:sectPr>
      </w:pPr>
      <w:r>
        <w:rPr>
          <w:rFonts w:hint="eastAsia" w:ascii="宋体" w:hAnsi="宋体"/>
          <w:sz w:val="32"/>
          <w:szCs w:val="32"/>
        </w:rPr>
        <w:t>报送日期：</w:t>
      </w:r>
      <w:r>
        <w:rPr>
          <w:rFonts w:ascii="宋体" w:hAnsi="宋体"/>
          <w:sz w:val="32"/>
          <w:szCs w:val="32"/>
        </w:rPr>
        <w:t>202</w:t>
      </w:r>
      <w:r>
        <w:rPr>
          <w:rFonts w:hint="eastAsia" w:ascii="宋体" w:hAnsi="宋体"/>
          <w:sz w:val="32"/>
          <w:szCs w:val="32"/>
          <w:lang w:val="en-US" w:eastAsia="zh-CN"/>
        </w:rPr>
        <w:t>5</w:t>
      </w:r>
      <w:r>
        <w:rPr>
          <w:rFonts w:hint="eastAsia" w:ascii="宋体" w:hAnsi="宋体"/>
          <w:sz w:val="32"/>
          <w:szCs w:val="32"/>
        </w:rPr>
        <w:t>年8月</w:t>
      </w:r>
      <w:r>
        <w:rPr>
          <w:rFonts w:hint="eastAsia" w:ascii="宋体" w:hAnsi="宋体"/>
          <w:sz w:val="32"/>
          <w:szCs w:val="32"/>
          <w:lang w:val="en-US" w:eastAsia="zh-CN"/>
        </w:rPr>
        <w:t>14日</w:t>
      </w:r>
    </w:p>
    <w:p>
      <w:pPr>
        <w:spacing w:line="360" w:lineRule="auto"/>
        <w:jc w:val="both"/>
        <w:rPr>
          <w:rFonts w:ascii="宋体" w:hAnsi="宋体"/>
          <w:b/>
          <w:bCs/>
          <w:sz w:val="52"/>
          <w:szCs w:val="52"/>
        </w:rPr>
      </w:pPr>
    </w:p>
    <w:p>
      <w:pPr>
        <w:ind w:firstLine="2249" w:firstLineChars="700"/>
        <w:rPr>
          <w:rFonts w:ascii="仿宋" w:hAnsi="仿宋" w:eastAsia="仿宋"/>
          <w:b/>
          <w:sz w:val="32"/>
          <w:szCs w:val="32"/>
        </w:rPr>
        <w:sectPr>
          <w:footerReference r:id="rId4" w:type="default"/>
          <w:pgSz w:w="11906" w:h="16838"/>
          <w:pgMar w:top="1440" w:right="1083" w:bottom="1440" w:left="1083" w:header="0" w:footer="720" w:gutter="0"/>
          <w:cols w:space="425" w:num="1"/>
          <w:docGrid w:type="lines" w:linePitch="312" w:charSpace="0"/>
        </w:sectPr>
      </w:pP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widowControl/>
        <w:spacing w:before="240" w:after="240"/>
        <w:rPr>
          <w:rFonts w:ascii="Times New Roman" w:hAnsi="Times New Roman" w:eastAsia="Times New Roman" w:cs="Times New Roman"/>
          <w:color w:val="auto"/>
          <w:kern w:val="0"/>
          <w:sz w:val="24"/>
        </w:rPr>
      </w:pPr>
      <w:r>
        <w:rPr>
          <w:rFonts w:ascii="仿宋_GB2312" w:hAnsi="仿宋_GB2312" w:eastAsia="仿宋_GB2312" w:cs="仿宋_GB2312"/>
          <w:color w:val="auto"/>
          <w:kern w:val="0"/>
          <w:sz w:val="27"/>
          <w:szCs w:val="27"/>
        </w:rPr>
        <w:t>特别强调1：在“内蒙古自治区财政预决算公开平台”公开时，每个公开位置要精准上传指定报表，切忌重复公开多个决算公开表；没有数据的报表也要上传空表，并在报表合计数处填“0”，同时在报表下方说明空表原因。</w:t>
      </w:r>
    </w:p>
    <w:p>
      <w:pPr>
        <w:widowControl/>
        <w:spacing w:before="240" w:after="240"/>
        <w:rPr>
          <w:rFonts w:ascii="Times New Roman" w:hAnsi="Times New Roman" w:eastAsia="Times New Roman" w:cs="Times New Roman"/>
          <w:color w:val="auto"/>
          <w:kern w:val="0"/>
          <w:sz w:val="24"/>
        </w:rPr>
      </w:pPr>
      <w:r>
        <w:rPr>
          <w:rFonts w:ascii="仿宋_GB2312" w:hAnsi="仿宋_GB2312" w:eastAsia="仿宋_GB2312" w:cs="仿宋_GB2312"/>
          <w:color w:val="auto"/>
          <w:kern w:val="0"/>
          <w:sz w:val="27"/>
          <w:szCs w:val="27"/>
        </w:rPr>
        <w:t>特别强调2：公开报表缩放比例要适当，最好保持在80%-100%。</w:t>
      </w:r>
    </w:p>
    <w:p>
      <w:pPr>
        <w:widowControl/>
        <w:spacing w:before="240" w:after="240"/>
        <w:rPr>
          <w:rFonts w:ascii="Times New Roman" w:hAnsi="Times New Roman" w:eastAsia="Times New Roman" w:cs="Times New Roman"/>
          <w:color w:val="auto"/>
          <w:kern w:val="0"/>
          <w:sz w:val="24"/>
        </w:rPr>
      </w:pPr>
      <w:r>
        <w:rPr>
          <w:rFonts w:ascii="仿宋_GB2312" w:hAnsi="仿宋_GB2312" w:eastAsia="仿宋_GB2312" w:cs="仿宋_GB2312"/>
          <w:color w:val="auto"/>
          <w:kern w:val="0"/>
          <w:sz w:val="27"/>
          <w:szCs w:val="27"/>
        </w:rPr>
        <w:t>特别强调3：部门（单位）是决算公开的主体，部门（单位）对公开信息的真实性、准确性和完整性负责，并做好决算公开后的说明解释工作。依法确定为国家秘密的信息不予公开；涉密信息经法定程序解密并删除涉密内容后，予以公开。</w:t>
      </w:r>
    </w:p>
    <w:p>
      <w:pPr>
        <w:widowControl/>
        <w:spacing w:before="240" w:after="240"/>
        <w:rPr>
          <w:rFonts w:ascii="Times New Roman" w:hAnsi="Times New Roman" w:eastAsia="Times New Roman" w:cs="Times New Roman"/>
          <w:color w:val="auto"/>
          <w:kern w:val="0"/>
          <w:sz w:val="24"/>
        </w:rPr>
      </w:pPr>
      <w:r>
        <w:rPr>
          <w:rFonts w:ascii="仿宋_GB2312" w:hAnsi="仿宋_GB2312" w:eastAsia="仿宋_GB2312" w:cs="仿宋_GB2312"/>
          <w:color w:val="auto"/>
          <w:kern w:val="0"/>
          <w:sz w:val="27"/>
          <w:szCs w:val="27"/>
        </w:rPr>
        <w:t>特别强调4：决算公开报告模板中蓝色字体是提示性语句，需根据提示性语句进行补充完善，正式公开时需删除。要将模板提取的数据与决算报送终稿数据进行比对。模板中关于增加（减少）、增长（下降）的表述，如果对应提取数据为正数时，删除“（减少）”、“（下降）”；如果对应提取数据为负数时，删除“增加”或“增长”、“-”、以及减少两边的括号。</w:t>
      </w:r>
    </w:p>
    <w:p>
      <w:pPr>
        <w:widowControl/>
        <w:spacing w:before="240" w:after="240"/>
        <w:rPr>
          <w:rFonts w:ascii="Times New Roman" w:hAnsi="Times New Roman" w:eastAsia="Times New Roman" w:cs="Times New Roman"/>
          <w:kern w:val="0"/>
          <w:sz w:val="24"/>
        </w:rPr>
      </w:pPr>
    </w:p>
    <w:p>
      <w:pPr>
        <w:pStyle w:val="5"/>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5"/>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pPr>
        <w:keepNext w:val="0"/>
        <w:keepLines w:val="0"/>
        <w:widowControl/>
        <w:suppressLineNumbers w:val="0"/>
        <w:spacing w:before="0" w:beforeAutospacing="1" w:after="0" w:afterAutospacing="1" w:line="360" w:lineRule="auto"/>
        <w:ind w:left="0" w:right="0" w:firstLine="640"/>
        <w:jc w:val="both"/>
        <w:rPr>
          <w:rFonts w:ascii="Times New Roman" w:hAnsi="Times New Roman" w:eastAsia="Times New Roman" w:cs="Times New Roman"/>
          <w:kern w:val="0"/>
          <w:sz w:val="30"/>
          <w:szCs w:val="30"/>
        </w:rPr>
      </w:pPr>
      <w:r>
        <w:rPr>
          <w:rFonts w:ascii="仿宋_GB2312" w:hAnsi="仿宋_GB2312" w:eastAsia="仿宋_GB2312" w:cs="仿宋_GB2312"/>
          <w:color w:val="0E00FE"/>
          <w:kern w:val="0"/>
          <w:sz w:val="30"/>
          <w:szCs w:val="30"/>
        </w:rPr>
        <w:t xml:space="preserve">  </w:t>
      </w:r>
      <w:r>
        <w:rPr>
          <w:rFonts w:hint="eastAsia" w:ascii="仿宋" w:hAnsi="仿宋" w:eastAsia="仿宋" w:cs="仿宋"/>
          <w:color w:val="0E00FE"/>
          <w:kern w:val="0"/>
          <w:sz w:val="30"/>
          <w:szCs w:val="30"/>
        </w:rPr>
        <w:t> </w:t>
      </w:r>
      <w:r>
        <w:rPr>
          <w:rFonts w:hint="eastAsia" w:ascii="仿宋" w:hAnsi="仿宋" w:eastAsia="仿宋" w:cs="仿宋"/>
          <w:spacing w:val="4"/>
          <w:sz w:val="30"/>
          <w:szCs w:val="30"/>
        </w:rPr>
        <w:t>人民检察院是中华人民共和国国家法律监督机关。人民检察院 通过行使国家检察权来完成自己的任务。它对于危害国家安全案、 危害公共安全案、侵犯公民人身权利民主权利案和其他重大犯罪案 件，行使检察权；对于公安机关侦查的案件进行审查，决定是否逮 捕、起诉或者不起诉；对于刑事案件提起公诉、支持公诉；对于公安机关、人民法院和监狱、看守所、 劳动改造机关的活动是否合法，实行监督。</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pPr>
        <w:widowControl/>
        <w:spacing w:before="240" w:after="240"/>
        <w:rPr>
          <w:rFonts w:hint="eastAsia" w:ascii="仿宋" w:hAnsi="仿宋" w:eastAsia="仿宋" w:cs="仿宋"/>
          <w:spacing w:val="4"/>
          <w:sz w:val="30"/>
          <w:szCs w:val="30"/>
        </w:rPr>
      </w:pPr>
      <w:r>
        <w:rPr>
          <w:rFonts w:ascii="times_new_roman" w:hAnsi="times_new_roman" w:eastAsia="times_new_roman" w:cs="times_new_roman"/>
          <w:kern w:val="0"/>
          <w:sz w:val="27"/>
          <w:szCs w:val="27"/>
        </w:rPr>
        <w:t>   </w:t>
      </w:r>
      <w:r>
        <w:rPr>
          <w:rFonts w:ascii="times_new_roman" w:hAnsi="times_new_roman" w:eastAsia="times_new_roman" w:cs="times_new_roman"/>
          <w:kern w:val="0"/>
          <w:sz w:val="30"/>
          <w:szCs w:val="30"/>
        </w:rPr>
        <w:t xml:space="preserve"> </w:t>
      </w:r>
      <w:r>
        <w:rPr>
          <w:rFonts w:hint="eastAsia" w:ascii="仿宋" w:hAnsi="仿宋" w:eastAsia="仿宋" w:cs="仿宋"/>
          <w:kern w:val="0"/>
          <w:sz w:val="30"/>
          <w:szCs w:val="30"/>
        </w:rPr>
        <w:t xml:space="preserve">  </w:t>
      </w:r>
      <w:r>
        <w:rPr>
          <w:rFonts w:hint="eastAsia" w:ascii="仿宋" w:hAnsi="仿宋" w:eastAsia="仿宋" w:cs="仿宋"/>
          <w:spacing w:val="4"/>
          <w:sz w:val="30"/>
          <w:szCs w:val="30"/>
        </w:rPr>
        <w:t>1.我院内设机构共</w:t>
      </w:r>
      <w:r>
        <w:rPr>
          <w:rFonts w:hint="eastAsia" w:ascii="仿宋" w:hAnsi="仿宋" w:eastAsia="仿宋" w:cs="仿宋"/>
          <w:spacing w:val="4"/>
          <w:sz w:val="30"/>
          <w:szCs w:val="30"/>
          <w:lang w:val="en-US" w:eastAsia="zh-CN"/>
        </w:rPr>
        <w:t>5</w:t>
      </w:r>
      <w:r>
        <w:rPr>
          <w:rFonts w:hint="eastAsia" w:ascii="仿宋" w:hAnsi="仿宋" w:eastAsia="仿宋" w:cs="仿宋"/>
          <w:spacing w:val="4"/>
          <w:sz w:val="30"/>
          <w:szCs w:val="30"/>
        </w:rPr>
        <w:t>个：办公室、政工科、第一检察部、第二检察部、第三检察部。我院一是把好经费预算关，完善经费保障，科学编制年度经费预算，从办公、办案实际需要和科技强检战略出发，确保经费逐年增长；二是把好经费支出关，做到经费使用有计划、有请示、有审批，确保资金使用合理透明；三是把好手续审验关，在安排支出时分轻重缓急，确保重点，统筹安排，合理支出。(注：“本单位无下属单位”)</w:t>
      </w:r>
    </w:p>
    <w:p>
      <w:pPr>
        <w:widowControl/>
        <w:spacing w:before="240" w:after="240"/>
        <w:rPr>
          <w:rFonts w:hint="eastAsia" w:ascii="仿宋" w:hAnsi="仿宋" w:eastAsia="仿宋" w:cs="仿宋"/>
          <w:spacing w:val="4"/>
          <w:sz w:val="30"/>
          <w:szCs w:val="30"/>
        </w:rPr>
      </w:pPr>
      <w:r>
        <w:rPr>
          <w:rFonts w:ascii="times_new_roman" w:hAnsi="times_new_roman" w:eastAsia="times_new_roman" w:cs="times_new_roman"/>
          <w:kern w:val="0"/>
          <w:sz w:val="30"/>
          <w:szCs w:val="30"/>
        </w:rPr>
        <w:t>   </w:t>
      </w:r>
      <w:r>
        <w:rPr>
          <w:rFonts w:hint="eastAsia" w:ascii="仿宋" w:hAnsi="仿宋" w:eastAsia="仿宋" w:cs="仿宋"/>
          <w:spacing w:val="4"/>
          <w:sz w:val="30"/>
          <w:szCs w:val="30"/>
        </w:rPr>
        <w:t>  2.从决算单位构成看，纳入本部门202</w:t>
      </w:r>
      <w:r>
        <w:rPr>
          <w:rFonts w:hint="eastAsia" w:ascii="仿宋" w:hAnsi="仿宋" w:eastAsia="仿宋" w:cs="仿宋"/>
          <w:spacing w:val="4"/>
          <w:sz w:val="30"/>
          <w:szCs w:val="30"/>
          <w:lang w:val="en-US" w:eastAsia="zh-CN"/>
        </w:rPr>
        <w:t>4</w:t>
      </w:r>
      <w:r>
        <w:rPr>
          <w:rFonts w:hint="eastAsia" w:ascii="仿宋" w:hAnsi="仿宋" w:eastAsia="仿宋" w:cs="仿宋"/>
          <w:spacing w:val="4"/>
          <w:sz w:val="30"/>
          <w:szCs w:val="30"/>
        </w:rPr>
        <w:t>年度部门汇总决算编制范围的预算单位共计1家，详细情况见表：</w:t>
      </w:r>
    </w:p>
    <w:p>
      <w:pPr>
        <w:keepNext w:val="0"/>
        <w:keepLines w:val="0"/>
        <w:widowControl/>
        <w:suppressLineNumbers w:val="0"/>
        <w:spacing w:before="0" w:beforeAutospacing="1" w:after="0" w:afterAutospacing="1" w:line="360" w:lineRule="auto"/>
        <w:ind w:left="0" w:right="0" w:firstLine="640"/>
        <w:jc w:val="center"/>
        <w:rPr>
          <w:rFonts w:hint="eastAsia" w:ascii="仿宋" w:hAnsi="仿宋" w:eastAsia="仿宋" w:cs="仿宋"/>
          <w:kern w:val="0"/>
          <w:sz w:val="30"/>
          <w:szCs w:val="30"/>
        </w:rPr>
      </w:pPr>
    </w:p>
    <w:p>
      <w:pPr>
        <w:keepNext w:val="0"/>
        <w:keepLines w:val="0"/>
        <w:widowControl/>
        <w:suppressLineNumbers w:val="0"/>
        <w:spacing w:before="0" w:beforeAutospacing="1" w:after="0" w:afterAutospacing="1" w:line="360" w:lineRule="auto"/>
        <w:ind w:left="0" w:right="0" w:firstLine="640"/>
        <w:jc w:val="center"/>
        <w:rPr>
          <w:rFonts w:hint="eastAsia" w:ascii="仿宋" w:hAnsi="仿宋" w:eastAsia="仿宋" w:cs="仿宋"/>
          <w:kern w:val="0"/>
          <w:sz w:val="30"/>
          <w:szCs w:val="30"/>
        </w:rPr>
      </w:pPr>
      <w:r>
        <w:rPr>
          <w:rFonts w:hint="eastAsia" w:ascii="仿宋" w:hAnsi="仿宋" w:eastAsia="仿宋" w:cs="仿宋"/>
          <w:kern w:val="0"/>
          <w:sz w:val="30"/>
          <w:szCs w:val="30"/>
        </w:rPr>
        <w:t>详细情况见表：</w:t>
      </w:r>
    </w:p>
    <w:tbl>
      <w:tblPr>
        <w:tblStyle w:val="20"/>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8"/>
        <w:gridCol w:w="3733"/>
        <w:gridCol w:w="526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54" w:hRule="atLeast"/>
        </w:trPr>
        <w:tc>
          <w:tcPr>
            <w:tcW w:w="75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center"/>
              <w:rPr>
                <w:rFonts w:hint="eastAsia" w:ascii="仿宋" w:hAnsi="仿宋" w:eastAsia="仿宋" w:cs="仿宋"/>
                <w:kern w:val="0"/>
                <w:sz w:val="30"/>
                <w:szCs w:val="30"/>
              </w:rPr>
            </w:pPr>
            <w:r>
              <w:rPr>
                <w:rFonts w:hint="eastAsia" w:ascii="仿宋" w:hAnsi="仿宋" w:eastAsia="仿宋" w:cs="仿宋"/>
                <w:color w:val="000000"/>
                <w:kern w:val="0"/>
                <w:sz w:val="30"/>
                <w:szCs w:val="30"/>
              </w:rPr>
              <w:t>序号</w:t>
            </w:r>
          </w:p>
        </w:tc>
        <w:tc>
          <w:tcPr>
            <w:tcW w:w="37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仿宋" w:hAnsi="仿宋" w:eastAsia="仿宋" w:cs="仿宋"/>
                <w:kern w:val="0"/>
                <w:sz w:val="30"/>
                <w:szCs w:val="30"/>
              </w:rPr>
            </w:pPr>
            <w:r>
              <w:rPr>
                <w:rFonts w:hint="eastAsia" w:ascii="仿宋" w:hAnsi="仿宋" w:eastAsia="仿宋" w:cs="仿宋"/>
                <w:color w:val="000000"/>
                <w:kern w:val="0"/>
                <w:sz w:val="30"/>
                <w:szCs w:val="30"/>
              </w:rPr>
              <w:t>单位名称</w:t>
            </w:r>
          </w:p>
        </w:tc>
        <w:tc>
          <w:tcPr>
            <w:tcW w:w="52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仿宋" w:hAnsi="仿宋" w:eastAsia="仿宋" w:cs="仿宋"/>
                <w:kern w:val="0"/>
                <w:sz w:val="30"/>
                <w:szCs w:val="30"/>
              </w:rPr>
            </w:pPr>
            <w:r>
              <w:rPr>
                <w:rFonts w:hint="eastAsia" w:ascii="仿宋" w:hAnsi="仿宋" w:eastAsia="仿宋" w:cs="仿宋"/>
                <w:color w:val="000000"/>
                <w:kern w:val="0"/>
                <w:sz w:val="30"/>
                <w:szCs w:val="30"/>
              </w:rPr>
              <w:t>单位性质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9" w:hRule="atLeast"/>
        </w:trPr>
        <w:tc>
          <w:tcPr>
            <w:tcW w:w="758" w:type="dxa"/>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center"/>
              <w:rPr>
                <w:rFonts w:hint="eastAsia" w:ascii="仿宋" w:hAnsi="仿宋" w:eastAsia="仿宋" w:cs="仿宋"/>
                <w:kern w:val="0"/>
                <w:sz w:val="30"/>
                <w:szCs w:val="30"/>
              </w:rPr>
            </w:pPr>
            <w:r>
              <w:rPr>
                <w:rFonts w:hint="eastAsia" w:ascii="仿宋" w:hAnsi="仿宋" w:eastAsia="仿宋" w:cs="仿宋"/>
                <w:color w:val="000000"/>
                <w:kern w:val="0"/>
                <w:sz w:val="30"/>
                <w:szCs w:val="30"/>
              </w:rPr>
              <w:t>1</w:t>
            </w:r>
          </w:p>
        </w:tc>
        <w:tc>
          <w:tcPr>
            <w:tcW w:w="3733" w:type="dxa"/>
            <w:tcBorders>
              <w:top w:val="nil"/>
              <w:left w:val="nil"/>
              <w:bottom w:val="nil"/>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化德县人民检察院</w:t>
            </w:r>
          </w:p>
        </w:tc>
        <w:tc>
          <w:tcPr>
            <w:tcW w:w="5268" w:type="dxa"/>
            <w:tcBorders>
              <w:top w:val="nil"/>
              <w:left w:val="nil"/>
              <w:bottom w:val="nil"/>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仿宋" w:hAnsi="仿宋" w:eastAsia="仿宋" w:cs="仿宋"/>
                <w:kern w:val="0"/>
                <w:sz w:val="30"/>
                <w:szCs w:val="30"/>
              </w:rPr>
            </w:pPr>
            <w:r>
              <w:rPr>
                <w:rFonts w:hint="eastAsia" w:ascii="仿宋" w:hAnsi="仿宋" w:eastAsia="仿宋" w:cs="仿宋"/>
                <w:color w:val="000000"/>
                <w:kern w:val="0"/>
                <w:sz w:val="30"/>
                <w:szCs w:val="30"/>
              </w:rPr>
              <w:t>财政拨款的行政单位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9" w:hRule="atLeast"/>
        </w:trPr>
        <w:tc>
          <w:tcPr>
            <w:tcW w:w="758"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center"/>
              <w:rPr>
                <w:rFonts w:hint="eastAsia" w:ascii="仿宋" w:hAnsi="仿宋" w:eastAsia="仿宋" w:cs="仿宋"/>
                <w:color w:val="000000"/>
                <w:kern w:val="0"/>
                <w:sz w:val="31"/>
                <w:szCs w:val="31"/>
                <w:lang w:val="en-US" w:eastAsia="zh-CN"/>
              </w:rPr>
            </w:pPr>
            <w:r>
              <w:rPr>
                <w:rFonts w:hint="eastAsia" w:ascii="仿宋" w:hAnsi="仿宋" w:eastAsia="仿宋" w:cs="仿宋"/>
                <w:color w:val="000000"/>
                <w:kern w:val="0"/>
                <w:sz w:val="31"/>
                <w:szCs w:val="31"/>
                <w:lang w:val="en-US" w:eastAsia="zh-CN"/>
              </w:rPr>
              <w:t>2</w:t>
            </w:r>
          </w:p>
        </w:tc>
        <w:tc>
          <w:tcPr>
            <w:tcW w:w="3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center"/>
              <w:rPr>
                <w:rFonts w:hint="eastAsia" w:ascii="仿宋" w:hAnsi="仿宋" w:eastAsia="仿宋" w:cs="仿宋"/>
                <w:kern w:val="0"/>
                <w:sz w:val="32"/>
                <w:szCs w:val="32"/>
              </w:rPr>
            </w:pPr>
          </w:p>
        </w:tc>
        <w:tc>
          <w:tcPr>
            <w:tcW w:w="5268"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ind w:left="0" w:right="0"/>
              <w:jc w:val="center"/>
              <w:rPr>
                <w:rFonts w:hint="eastAsia" w:ascii="仿宋" w:hAnsi="仿宋" w:eastAsia="仿宋" w:cs="仿宋"/>
                <w:color w:val="000000"/>
                <w:kern w:val="0"/>
                <w:sz w:val="31"/>
                <w:szCs w:val="31"/>
              </w:rPr>
            </w:pPr>
          </w:p>
        </w:tc>
      </w:tr>
    </w:tbl>
    <w:p>
      <w:pPr>
        <w:widowControl/>
        <w:spacing w:before="240" w:after="240"/>
        <w:jc w:val="left"/>
        <w:rPr>
          <w:rFonts w:ascii="黑体" w:hAnsi="黑体" w:eastAsia="黑体" w:cs="黑体"/>
          <w:b/>
          <w:bCs/>
          <w:kern w:val="0"/>
          <w:sz w:val="27"/>
          <w:szCs w:val="27"/>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三、2024年度部门（单位）主要工作完成情况</w:t>
      </w:r>
    </w:p>
    <w:p>
      <w:pPr>
        <w:widowControl/>
        <w:spacing w:before="240" w:after="240"/>
        <w:jc w:val="left"/>
        <w:rPr>
          <w:rFonts w:hint="eastAsia" w:ascii="仿宋" w:hAnsi="仿宋" w:eastAsia="仿宋" w:cs="仿宋"/>
          <w:spacing w:val="4"/>
          <w:sz w:val="30"/>
          <w:szCs w:val="30"/>
        </w:rPr>
      </w:pPr>
      <w:r>
        <w:rPr>
          <w:rFonts w:hint="eastAsia" w:ascii="仿宋" w:hAnsi="仿宋" w:eastAsia="仿宋" w:cs="仿宋"/>
          <w:spacing w:val="4"/>
          <w:sz w:val="30"/>
          <w:szCs w:val="30"/>
        </w:rPr>
        <w:t>1、我院按时完</w:t>
      </w:r>
      <w:r>
        <w:rPr>
          <w:rFonts w:hint="eastAsia" w:ascii="仿宋" w:hAnsi="仿宋" w:eastAsia="仿宋" w:cs="仿宋"/>
          <w:spacing w:val="4"/>
          <w:sz w:val="30"/>
          <w:szCs w:val="30"/>
          <w:lang w:val="en-US" w:eastAsia="zh-CN"/>
        </w:rPr>
        <w:t>成</w:t>
      </w:r>
      <w:r>
        <w:rPr>
          <w:rFonts w:hint="eastAsia" w:ascii="仿宋" w:hAnsi="仿宋" w:eastAsia="仿宋" w:cs="仿宋"/>
          <w:spacing w:val="4"/>
          <w:sz w:val="30"/>
          <w:szCs w:val="30"/>
        </w:rPr>
        <w:t>上级院和财政厅下达的各项任务；</w:t>
      </w:r>
    </w:p>
    <w:p>
      <w:pPr>
        <w:keepNext w:val="0"/>
        <w:keepLines w:val="0"/>
        <w:pageBreakBefore w:val="0"/>
        <w:widowControl/>
        <w:kinsoku/>
        <w:wordWrap/>
        <w:overflowPunct/>
        <w:autoSpaceDE/>
        <w:autoSpaceDN/>
        <w:bidi w:val="0"/>
        <w:adjustRightInd/>
        <w:snapToGrid/>
        <w:spacing w:before="240" w:after="240" w:line="240" w:lineRule="auto"/>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2、我院按时发放干警的工资并及时核定各项保险并缴纳；</w:t>
      </w:r>
    </w:p>
    <w:p>
      <w:pPr>
        <w:keepNext w:val="0"/>
        <w:keepLines w:val="0"/>
        <w:pageBreakBefore w:val="0"/>
        <w:widowControl/>
        <w:kinsoku/>
        <w:wordWrap/>
        <w:overflowPunct/>
        <w:autoSpaceDE/>
        <w:autoSpaceDN/>
        <w:bidi w:val="0"/>
        <w:adjustRightInd/>
        <w:snapToGrid/>
        <w:spacing w:before="240" w:after="240" w:line="240" w:lineRule="auto"/>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3、及时列支每笔按规定的支出；</w:t>
      </w:r>
    </w:p>
    <w:p>
      <w:pPr>
        <w:keepNext w:val="0"/>
        <w:keepLines w:val="0"/>
        <w:pageBreakBefore w:val="0"/>
        <w:widowControl/>
        <w:kinsoku/>
        <w:wordWrap/>
        <w:overflowPunct/>
        <w:autoSpaceDE/>
        <w:autoSpaceDN/>
        <w:bidi w:val="0"/>
        <w:adjustRightInd/>
        <w:snapToGrid/>
        <w:spacing w:before="240" w:after="240" w:line="240" w:lineRule="auto"/>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4、与各部门及时沟通做好用款计划，及时与财政厅请款；</w:t>
      </w:r>
    </w:p>
    <w:p>
      <w:pPr>
        <w:keepNext w:val="0"/>
        <w:keepLines w:val="0"/>
        <w:pageBreakBefore w:val="0"/>
        <w:widowControl/>
        <w:kinsoku/>
        <w:wordWrap/>
        <w:overflowPunct/>
        <w:autoSpaceDE/>
        <w:autoSpaceDN/>
        <w:bidi w:val="0"/>
        <w:adjustRightInd/>
        <w:snapToGrid/>
        <w:spacing w:before="240" w:after="240" w:line="240" w:lineRule="auto"/>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5、按规定报送资产月报及固定资产的录入及报送；</w:t>
      </w:r>
    </w:p>
    <w:p>
      <w:pPr>
        <w:keepNext w:val="0"/>
        <w:keepLines w:val="0"/>
        <w:pageBreakBefore w:val="0"/>
        <w:widowControl/>
        <w:kinsoku/>
        <w:wordWrap/>
        <w:overflowPunct/>
        <w:autoSpaceDE/>
        <w:autoSpaceDN/>
        <w:bidi w:val="0"/>
        <w:adjustRightInd/>
        <w:snapToGrid/>
        <w:spacing w:before="240" w:after="240" w:line="240" w:lineRule="auto"/>
        <w:textAlignment w:val="auto"/>
        <w:rPr>
          <w:rFonts w:hint="eastAsia" w:ascii="仿宋" w:hAnsi="仿宋" w:eastAsia="仿宋" w:cs="仿宋"/>
          <w:spacing w:val="4"/>
          <w:sz w:val="30"/>
          <w:szCs w:val="30"/>
        </w:rPr>
      </w:pPr>
      <w:r>
        <w:rPr>
          <w:rFonts w:hint="eastAsia" w:ascii="仿宋" w:hAnsi="仿宋" w:eastAsia="仿宋" w:cs="仿宋"/>
          <w:spacing w:val="4"/>
          <w:sz w:val="30"/>
          <w:szCs w:val="30"/>
          <w:lang w:val="en-US" w:eastAsia="zh-CN"/>
        </w:rPr>
        <w:t>6</w:t>
      </w:r>
      <w:r>
        <w:rPr>
          <w:rFonts w:hint="eastAsia" w:ascii="仿宋" w:hAnsi="仿宋" w:eastAsia="仿宋" w:cs="仿宋"/>
          <w:spacing w:val="4"/>
          <w:sz w:val="30"/>
          <w:szCs w:val="30"/>
        </w:rPr>
        <w:t>、按时做好每月的账务处理；</w:t>
      </w:r>
    </w:p>
    <w:p>
      <w:pPr>
        <w:keepNext w:val="0"/>
        <w:keepLines w:val="0"/>
        <w:pageBreakBefore w:val="0"/>
        <w:widowControl/>
        <w:kinsoku/>
        <w:wordWrap/>
        <w:overflowPunct/>
        <w:autoSpaceDE/>
        <w:autoSpaceDN/>
        <w:bidi w:val="0"/>
        <w:adjustRightInd/>
        <w:snapToGrid/>
        <w:spacing w:before="240" w:after="240" w:line="240" w:lineRule="auto"/>
        <w:textAlignment w:val="auto"/>
        <w:rPr>
          <w:rFonts w:hint="eastAsia" w:ascii="仿宋" w:hAnsi="仿宋" w:eastAsia="仿宋" w:cs="仿宋"/>
          <w:spacing w:val="4"/>
          <w:sz w:val="30"/>
          <w:szCs w:val="30"/>
        </w:rPr>
      </w:pPr>
      <w:r>
        <w:rPr>
          <w:rFonts w:hint="eastAsia" w:ascii="仿宋" w:hAnsi="仿宋" w:eastAsia="仿宋" w:cs="仿宋"/>
          <w:spacing w:val="4"/>
          <w:sz w:val="30"/>
          <w:szCs w:val="30"/>
          <w:lang w:val="en-US" w:eastAsia="zh-CN"/>
        </w:rPr>
        <w:t>7</w:t>
      </w:r>
      <w:r>
        <w:rPr>
          <w:rFonts w:hint="eastAsia" w:ascii="仿宋" w:hAnsi="仿宋" w:eastAsia="仿宋" w:cs="仿宋"/>
          <w:spacing w:val="4"/>
          <w:sz w:val="30"/>
          <w:szCs w:val="30"/>
        </w:rPr>
        <w:t>、及时编报年度决算，上报财政厅系统并在相应时间节点公开；</w:t>
      </w:r>
    </w:p>
    <w:p>
      <w:pPr>
        <w:keepNext w:val="0"/>
        <w:keepLines w:val="0"/>
        <w:pageBreakBefore w:val="0"/>
        <w:widowControl/>
        <w:kinsoku/>
        <w:wordWrap/>
        <w:overflowPunct/>
        <w:autoSpaceDE/>
        <w:autoSpaceDN/>
        <w:bidi w:val="0"/>
        <w:adjustRightInd/>
        <w:snapToGrid/>
        <w:spacing w:before="240" w:after="240" w:line="240" w:lineRule="auto"/>
        <w:textAlignment w:val="auto"/>
        <w:rPr>
          <w:rFonts w:hint="eastAsia" w:ascii="仿宋" w:hAnsi="仿宋" w:eastAsia="仿宋" w:cs="仿宋"/>
          <w:spacing w:val="4"/>
          <w:sz w:val="30"/>
          <w:szCs w:val="30"/>
        </w:rPr>
      </w:pPr>
      <w:r>
        <w:rPr>
          <w:rFonts w:hint="eastAsia" w:ascii="仿宋" w:hAnsi="仿宋" w:eastAsia="仿宋" w:cs="仿宋"/>
          <w:spacing w:val="4"/>
          <w:sz w:val="30"/>
          <w:szCs w:val="30"/>
          <w:lang w:val="en-US" w:eastAsia="zh-CN"/>
        </w:rPr>
        <w:t>9、</w:t>
      </w:r>
      <w:r>
        <w:rPr>
          <w:rFonts w:hint="eastAsia" w:ascii="仿宋" w:hAnsi="仿宋" w:eastAsia="仿宋" w:cs="仿宋"/>
          <w:spacing w:val="4"/>
          <w:sz w:val="30"/>
          <w:szCs w:val="30"/>
        </w:rPr>
        <w:t>按照财政厅要求及时编报及报送预算，并在相应时间节点公开；</w:t>
      </w:r>
    </w:p>
    <w:p>
      <w:pPr>
        <w:keepNext w:val="0"/>
        <w:keepLines w:val="0"/>
        <w:pageBreakBefore w:val="0"/>
        <w:widowControl/>
        <w:kinsoku/>
        <w:wordWrap/>
        <w:overflowPunct/>
        <w:autoSpaceDE/>
        <w:autoSpaceDN/>
        <w:bidi w:val="0"/>
        <w:adjustRightInd/>
        <w:snapToGrid/>
        <w:spacing w:before="240" w:after="240" w:line="240" w:lineRule="auto"/>
        <w:textAlignment w:val="auto"/>
        <w:rPr>
          <w:rFonts w:hint="eastAsia" w:ascii="仿宋" w:hAnsi="仿宋" w:eastAsia="仿宋" w:cs="仿宋"/>
          <w:spacing w:val="4"/>
          <w:sz w:val="30"/>
          <w:szCs w:val="30"/>
        </w:rPr>
      </w:pPr>
      <w:r>
        <w:rPr>
          <w:rFonts w:hint="eastAsia" w:ascii="仿宋" w:hAnsi="仿宋" w:eastAsia="仿宋" w:cs="仿宋"/>
          <w:spacing w:val="4"/>
          <w:sz w:val="30"/>
          <w:szCs w:val="30"/>
          <w:lang w:val="en-US" w:eastAsia="zh-CN"/>
        </w:rPr>
        <w:t>10、</w:t>
      </w:r>
      <w:r>
        <w:rPr>
          <w:rFonts w:hint="eastAsia" w:ascii="仿宋" w:hAnsi="仿宋" w:eastAsia="仿宋" w:cs="仿宋"/>
          <w:spacing w:val="4"/>
          <w:sz w:val="30"/>
          <w:szCs w:val="30"/>
        </w:rPr>
        <w:t>编报</w:t>
      </w:r>
      <w:r>
        <w:rPr>
          <w:rFonts w:hint="eastAsia" w:ascii="仿宋" w:hAnsi="仿宋" w:eastAsia="仿宋" w:cs="仿宋"/>
          <w:spacing w:val="4"/>
          <w:sz w:val="30"/>
          <w:szCs w:val="30"/>
          <w:lang w:val="en-US" w:eastAsia="zh-CN"/>
        </w:rPr>
        <w:t>一般性支出系统、</w:t>
      </w:r>
      <w:r>
        <w:rPr>
          <w:rFonts w:hint="eastAsia" w:ascii="仿宋" w:hAnsi="仿宋" w:eastAsia="仿宋" w:cs="仿宋"/>
          <w:spacing w:val="4"/>
          <w:sz w:val="30"/>
          <w:szCs w:val="30"/>
        </w:rPr>
        <w:t>政府财务报告及上报、编报内控系统及上报、编制资产年报及上报、编报政法报表和报告及上报。</w:t>
      </w:r>
    </w:p>
    <w:p>
      <w:pPr>
        <w:widowControl/>
        <w:spacing w:before="240" w:after="240"/>
        <w:jc w:val="left"/>
        <w:rPr>
          <w:rFonts w:ascii="Times New Roman" w:hAnsi="Times New Roman" w:eastAsia="Times New Roman" w:cs="Times New Roman"/>
          <w:kern w:val="0"/>
          <w:sz w:val="24"/>
        </w:rPr>
      </w:pPr>
    </w:p>
    <w:p>
      <w:pPr>
        <w:pStyle w:val="5"/>
        <w:keepNext w:val="0"/>
        <w:keepLines w:val="0"/>
        <w:widowControl/>
        <w:spacing w:before="299" w:after="299" w:line="240" w:lineRule="auto"/>
        <w:jc w:val="center"/>
        <w:rPr>
          <w:rFonts w:hint="eastAsia" w:ascii="宋体" w:hAnsi="宋体" w:eastAsia="宋体" w:cs="宋体"/>
          <w:b/>
          <w:bCs/>
          <w:kern w:val="0"/>
          <w:sz w:val="44"/>
          <w:szCs w:val="44"/>
        </w:rPr>
      </w:pPr>
    </w:p>
    <w:p>
      <w:pPr>
        <w:pStyle w:val="5"/>
        <w:keepNext w:val="0"/>
        <w:keepLines w:val="0"/>
        <w:widowControl/>
        <w:spacing w:before="299" w:after="299" w:line="240" w:lineRule="auto"/>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第二部分 部门（单位）决算情况说明</w:t>
      </w:r>
    </w:p>
    <w:p>
      <w:pPr>
        <w:widowControl/>
        <w:spacing w:before="240" w:after="240"/>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    一、收入支出决算总体情况说明</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化德县人民检察院 2024年度收入、支出决算总计均为 1141.19万元。与年初预算相比，收、支总计各增加 9.70万元，增长 0.86%，变动原因：</w:t>
      </w:r>
      <w:r>
        <w:rPr>
          <w:rFonts w:hint="eastAsia" w:ascii="仿宋" w:hAnsi="仿宋" w:eastAsia="仿宋" w:cs="仿宋"/>
          <w:kern w:val="0"/>
          <w:sz w:val="30"/>
          <w:szCs w:val="30"/>
          <w:lang w:val="en-US" w:eastAsia="zh-CN"/>
        </w:rPr>
        <w:t>人员工资提标，导致工资和各类保险增加</w:t>
      </w:r>
      <w:r>
        <w:rPr>
          <w:rFonts w:hint="eastAsia" w:ascii="仿宋" w:hAnsi="仿宋" w:eastAsia="仿宋" w:cs="仿宋"/>
          <w:kern w:val="0"/>
          <w:sz w:val="30"/>
          <w:szCs w:val="30"/>
        </w:rPr>
        <w:t>；与上年决算相比，收、支总计各增加 18.91万元，增长 1.69%。其中：</w:t>
      </w:r>
    </w:p>
    <w:p>
      <w:pPr>
        <w:widowControl/>
        <w:spacing w:before="240" w:after="240"/>
        <w:jc w:val="left"/>
        <w:rPr>
          <w:rFonts w:hint="eastAsia" w:ascii="楷体" w:hAnsi="楷体" w:eastAsia="楷体" w:cs="楷体"/>
          <w:b/>
          <w:bCs/>
          <w:i w:val="0"/>
          <w:iCs w:val="0"/>
          <w:kern w:val="0"/>
          <w:sz w:val="36"/>
          <w:szCs w:val="36"/>
          <w:u w:val="none"/>
        </w:rPr>
      </w:pPr>
      <w:r>
        <w:rPr>
          <w:rFonts w:hint="eastAsia" w:ascii="楷体" w:hAnsi="楷体" w:eastAsia="楷体" w:cs="楷体"/>
          <w:b/>
          <w:bCs/>
          <w:i w:val="0"/>
          <w:iCs w:val="0"/>
          <w:kern w:val="0"/>
          <w:sz w:val="36"/>
          <w:szCs w:val="36"/>
          <w:u w:val="none"/>
        </w:rPr>
        <w:t>    （一）收入决算总计 1141.19万元。包括：</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color w:val="000000"/>
          <w:kern w:val="0"/>
          <w:sz w:val="27"/>
          <w:szCs w:val="27"/>
          <w:u w:val="none" w:color="auto"/>
        </w:rPr>
        <w:t>   </w:t>
      </w:r>
      <w:r>
        <w:rPr>
          <w:rFonts w:hint="eastAsia" w:ascii="仿宋" w:hAnsi="仿宋" w:eastAsia="仿宋" w:cs="仿宋"/>
          <w:kern w:val="0"/>
          <w:sz w:val="30"/>
          <w:szCs w:val="30"/>
        </w:rPr>
        <w:t xml:space="preserve"> 1.本年收入决算合计 1141.19万元。与上年决算相比，增加 18.91万元，增长 1.69%，变动原因：</w:t>
      </w:r>
      <w:r>
        <w:rPr>
          <w:rFonts w:hint="eastAsia" w:ascii="仿宋" w:hAnsi="仿宋" w:eastAsia="仿宋" w:cs="仿宋"/>
          <w:kern w:val="0"/>
          <w:sz w:val="30"/>
          <w:szCs w:val="30"/>
          <w:lang w:val="en-US" w:eastAsia="zh-CN"/>
        </w:rPr>
        <w:t>人员工资提标，导致工资和各类保险增加及有新考录人员，所以导致</w:t>
      </w:r>
      <w:r>
        <w:rPr>
          <w:rFonts w:hint="eastAsia" w:ascii="仿宋" w:hAnsi="仿宋" w:eastAsia="仿宋" w:cs="仿宋"/>
          <w:kern w:val="0"/>
          <w:sz w:val="30"/>
          <w:szCs w:val="30"/>
        </w:rPr>
        <w:t>本年收入决算合计</w:t>
      </w:r>
      <w:r>
        <w:rPr>
          <w:rFonts w:hint="eastAsia" w:ascii="仿宋" w:hAnsi="仿宋" w:eastAsia="仿宋" w:cs="仿宋"/>
          <w:kern w:val="0"/>
          <w:sz w:val="30"/>
          <w:szCs w:val="30"/>
          <w:lang w:val="en-US" w:eastAsia="zh-CN"/>
        </w:rPr>
        <w:t>增加</w:t>
      </w:r>
      <w:r>
        <w:rPr>
          <w:rFonts w:hint="eastAsia" w:ascii="仿宋" w:hAnsi="仿宋" w:eastAsia="仿宋" w:cs="仿宋"/>
          <w:kern w:val="0"/>
          <w:sz w:val="30"/>
          <w:szCs w:val="30"/>
        </w:rPr>
        <w:t>。</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2.使用非财政拨款结余（含专用结余） 0万元。与上年决算相比，增加0万元，增长 0%，变动原因：不存在此项内容。</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3.年初结转和结余 0万元。与上年决算相比，增加 0万元，增长 0%，变动原因：不存在此项内容。</w:t>
      </w:r>
    </w:p>
    <w:p>
      <w:pPr>
        <w:widowControl/>
        <w:spacing w:before="240" w:after="240"/>
        <w:jc w:val="left"/>
        <w:rPr>
          <w:rFonts w:ascii="Times New Roman" w:hAnsi="Times New Roman" w:eastAsia="Times New Roman" w:cs="Times New Roman"/>
          <w:kern w:val="0"/>
          <w:sz w:val="24"/>
          <w:u w:val="none" w:color="auto"/>
        </w:rPr>
      </w:pPr>
      <w:r>
        <w:rPr>
          <w:rFonts w:ascii="kai_ti_gb2312" w:hAnsi="kai_ti_gb2312" w:eastAsia="kai_ti_gb2312" w:cs="kai_ti_gb2312"/>
          <w:b/>
          <w:bCs/>
          <w:color w:val="000000"/>
          <w:kern w:val="0"/>
          <w:sz w:val="27"/>
          <w:szCs w:val="27"/>
        </w:rPr>
        <w:t> </w:t>
      </w:r>
      <w:r>
        <w:rPr>
          <w:rFonts w:hint="eastAsia" w:ascii="楷体" w:hAnsi="楷体" w:eastAsia="楷体" w:cs="楷体"/>
          <w:b/>
          <w:bCs/>
          <w:i w:val="0"/>
          <w:iCs w:val="0"/>
          <w:kern w:val="0"/>
          <w:sz w:val="36"/>
          <w:szCs w:val="36"/>
          <w:u w:val="none"/>
        </w:rPr>
        <w:t xml:space="preserve">   （二）支出决算总计 1141.19万元。包括：</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color w:val="000000"/>
          <w:kern w:val="0"/>
          <w:sz w:val="27"/>
          <w:szCs w:val="27"/>
        </w:rPr>
        <w:t xml:space="preserve">  </w:t>
      </w:r>
      <w:r>
        <w:rPr>
          <w:rFonts w:hint="eastAsia" w:ascii="仿宋" w:hAnsi="仿宋" w:eastAsia="仿宋" w:cs="仿宋"/>
          <w:kern w:val="0"/>
          <w:sz w:val="30"/>
          <w:szCs w:val="30"/>
        </w:rPr>
        <w:t>  1.本年支出决算合计 1141.19万元。与上年决算相比，增加 18.91万元，增长 1.69%，变动原因：</w:t>
      </w:r>
      <w:r>
        <w:rPr>
          <w:rFonts w:hint="eastAsia" w:ascii="仿宋" w:hAnsi="仿宋" w:eastAsia="仿宋" w:cs="仿宋"/>
          <w:kern w:val="0"/>
          <w:sz w:val="30"/>
          <w:szCs w:val="30"/>
          <w:lang w:val="en-US" w:eastAsia="zh-CN"/>
        </w:rPr>
        <w:t>人员工资提标，导致工资和各类保险增加及有新考录人员，所以导致</w:t>
      </w:r>
      <w:r>
        <w:rPr>
          <w:rFonts w:hint="eastAsia" w:ascii="仿宋" w:hAnsi="仿宋" w:eastAsia="仿宋" w:cs="仿宋"/>
          <w:kern w:val="0"/>
          <w:sz w:val="30"/>
          <w:szCs w:val="30"/>
        </w:rPr>
        <w:t>本年收入决算合计</w:t>
      </w:r>
      <w:r>
        <w:rPr>
          <w:rFonts w:hint="eastAsia" w:ascii="仿宋" w:hAnsi="仿宋" w:eastAsia="仿宋" w:cs="仿宋"/>
          <w:kern w:val="0"/>
          <w:sz w:val="30"/>
          <w:szCs w:val="30"/>
          <w:lang w:val="en-US" w:eastAsia="zh-CN"/>
        </w:rPr>
        <w:t>增加</w:t>
      </w:r>
      <w:r>
        <w:rPr>
          <w:rFonts w:hint="eastAsia" w:ascii="仿宋" w:hAnsi="仿宋" w:eastAsia="仿宋" w:cs="仿宋"/>
          <w:kern w:val="0"/>
          <w:sz w:val="30"/>
          <w:szCs w:val="30"/>
        </w:rPr>
        <w:t>。</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2.结余分配 0万元。结余分配事项：</w:t>
      </w:r>
      <w:r>
        <w:rPr>
          <w:rFonts w:hint="eastAsia" w:ascii="仿宋" w:hAnsi="仿宋" w:eastAsia="仿宋" w:cs="仿宋"/>
          <w:kern w:val="0"/>
          <w:sz w:val="30"/>
          <w:szCs w:val="30"/>
          <w:lang w:val="en-US" w:eastAsia="zh-CN"/>
        </w:rPr>
        <w:t>无</w:t>
      </w:r>
      <w:r>
        <w:rPr>
          <w:rFonts w:hint="eastAsia" w:ascii="仿宋" w:hAnsi="仿宋" w:eastAsia="仿宋" w:cs="仿宋"/>
          <w:kern w:val="0"/>
          <w:sz w:val="30"/>
          <w:szCs w:val="30"/>
        </w:rPr>
        <w:t>。与上年决算相比，增加 0万元，增长 0%，变动原因：不存在此项内容。</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3.年末结转和结余 0万元。结转和结余事项：</w:t>
      </w:r>
      <w:r>
        <w:rPr>
          <w:rFonts w:hint="eastAsia" w:ascii="仿宋" w:hAnsi="仿宋" w:eastAsia="仿宋" w:cs="仿宋"/>
          <w:kern w:val="0"/>
          <w:sz w:val="30"/>
          <w:szCs w:val="30"/>
          <w:lang w:val="en-US" w:eastAsia="zh-CN"/>
        </w:rPr>
        <w:t>无</w:t>
      </w:r>
      <w:r>
        <w:rPr>
          <w:rFonts w:hint="eastAsia" w:ascii="仿宋" w:hAnsi="仿宋" w:eastAsia="仿宋" w:cs="仿宋"/>
          <w:kern w:val="0"/>
          <w:sz w:val="30"/>
          <w:szCs w:val="30"/>
        </w:rPr>
        <w:t>。与上年决算相比，增加 0万元，增长 0%，变动原因：不存在此项内容。</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color w:val="0E00FE"/>
          <w:kern w:val="0"/>
          <w:sz w:val="27"/>
          <w:szCs w:val="27"/>
        </w:rPr>
        <w:t xml:space="preserve">    </w:t>
      </w:r>
      <w:r>
        <w:rPr>
          <w:rFonts w:hint="eastAsia" w:ascii="仿宋" w:hAnsi="仿宋" w:eastAsia="仿宋" w:cs="仿宋"/>
          <w:kern w:val="0"/>
          <w:sz w:val="32"/>
          <w:szCs w:val="32"/>
        </w:rPr>
        <w:t xml:space="preserve">  </w:t>
      </w:r>
      <w:r>
        <w:rPr>
          <w:rFonts w:hint="eastAsia" w:ascii="仿宋" w:hAnsi="仿宋" w:eastAsia="仿宋" w:cs="仿宋"/>
          <w:kern w:val="0"/>
          <w:sz w:val="30"/>
          <w:szCs w:val="30"/>
        </w:rPr>
        <w:t>  化德县人民检察院 2024年度本年收入决算合计 1141.19万元，其中：</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本年一般公共预算财政拨款收入 1100.50万元，占 96.43%；</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本年政府性基金预算财政拨款收入 0万元，占 0%；</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本年国有资本经营预算财政拨款收入 0万元，占 0%；</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本年上级补助收入 0万元，占 0%；</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本年事业收入 0万元，占 0%；</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本年经营收入 0万元，占 0%；</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本年附属单位上缴收入 0万元，占 0%；</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2"/>
          <w:szCs w:val="32"/>
        </w:rPr>
        <w:t xml:space="preserve">    </w:t>
      </w:r>
      <w:r>
        <w:rPr>
          <w:rFonts w:hint="eastAsia" w:ascii="仿宋" w:hAnsi="仿宋" w:eastAsia="仿宋" w:cs="仿宋"/>
          <w:kern w:val="0"/>
          <w:sz w:val="30"/>
          <w:szCs w:val="30"/>
        </w:rPr>
        <w:t>本年其他收入 40.69万元，占 3.57%。</w:t>
      </w:r>
    </w:p>
    <w:p>
      <w:pPr>
        <w:widowControl/>
        <w:spacing w:before="240" w:after="240"/>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4692650" cy="2933065"/>
            <wp:effectExtent l="0" t="0" r="1270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692650" cy="293306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kern w:val="0"/>
          <w:sz w:val="27"/>
          <w:szCs w:val="27"/>
        </w:rPr>
        <w:t xml:space="preserve">    </w:t>
      </w:r>
      <w:r>
        <w:rPr>
          <w:rFonts w:hint="eastAsia" w:ascii="仿宋" w:hAnsi="仿宋" w:eastAsia="仿宋" w:cs="仿宋"/>
          <w:kern w:val="0"/>
          <w:sz w:val="30"/>
          <w:szCs w:val="30"/>
        </w:rPr>
        <w:t>化德县人民检察院 2024年度本年支出决算合计 1141.19万元，其中：</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本年基本支出 823.11万元，占 72.13%；</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本年项目支出 318.09万元，占 27.87%；</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本年上缴上级支出 0万元，占 0%；</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本年经营支出 0万元，占 0%；</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本年对附属单位补助支出 0万元，占 0%。</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4937125" cy="3085465"/>
            <wp:effectExtent l="0" t="0" r="1587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937125" cy="308546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widowControl/>
        <w:spacing w:before="240" w:after="24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rPr>
        <w:t>  化德县人民检察院 2024年度财政拨款收入、支出决算总计均为 1100.50万元，与年初预算相比，收、支总计各减少 30.99万元，下降2.74%，变动原因：</w:t>
      </w:r>
      <w:r>
        <w:rPr>
          <w:rFonts w:hint="eastAsia" w:ascii="仿宋_GB2312" w:hAnsi="仿宋_GB2312" w:eastAsia="仿宋_GB2312" w:cs="仿宋_GB2312"/>
          <w:kern w:val="0"/>
          <w:sz w:val="27"/>
          <w:szCs w:val="27"/>
          <w:lang w:val="en-US" w:eastAsia="zh-CN"/>
        </w:rPr>
        <w:t>因2024年年初预算有上年结转资金，所以预算和决算收支有差异</w:t>
      </w:r>
      <w:r>
        <w:rPr>
          <w:rFonts w:hint="eastAsia" w:ascii="仿宋_GB2312" w:hAnsi="仿宋_GB2312" w:eastAsia="仿宋_GB2312" w:cs="仿宋_GB2312"/>
          <w:kern w:val="0"/>
          <w:sz w:val="27"/>
          <w:szCs w:val="27"/>
        </w:rPr>
        <w:t>；与上年决算相比，收、支总计各增加 48.93万元，增长 4.65%，变动原因：</w:t>
      </w:r>
      <w:r>
        <w:rPr>
          <w:rFonts w:hint="eastAsia" w:ascii="仿宋_GB2312" w:hAnsi="仿宋_GB2312" w:eastAsia="仿宋_GB2312" w:cs="仿宋_GB2312"/>
          <w:kern w:val="0"/>
          <w:sz w:val="27"/>
          <w:szCs w:val="27"/>
          <w:lang w:val="en-US" w:eastAsia="zh-CN"/>
        </w:rPr>
        <w:t>人员工资提标，导致工资和各类保险增加及有新考录人员，所以导致</w:t>
      </w:r>
      <w:r>
        <w:rPr>
          <w:rFonts w:hint="eastAsia" w:ascii="仿宋_GB2312" w:hAnsi="仿宋_GB2312" w:eastAsia="仿宋_GB2312" w:cs="仿宋_GB2312"/>
          <w:kern w:val="0"/>
          <w:sz w:val="27"/>
          <w:szCs w:val="27"/>
        </w:rPr>
        <w:t>本年收入决算合计</w:t>
      </w:r>
      <w:r>
        <w:rPr>
          <w:rFonts w:hint="eastAsia" w:ascii="仿宋_GB2312" w:hAnsi="仿宋_GB2312" w:eastAsia="仿宋_GB2312" w:cs="仿宋_GB2312"/>
          <w:kern w:val="0"/>
          <w:sz w:val="27"/>
          <w:szCs w:val="27"/>
          <w:lang w:val="en-US" w:eastAsia="zh-CN"/>
        </w:rPr>
        <w:t>增加。</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widowControl/>
        <w:spacing w:before="240" w:after="240"/>
        <w:rPr>
          <w:rFonts w:hint="eastAsia" w:ascii="仿宋" w:hAnsi="仿宋" w:eastAsia="仿宋" w:cs="仿宋"/>
          <w:kern w:val="0"/>
          <w:sz w:val="32"/>
          <w:szCs w:val="32"/>
        </w:rPr>
      </w:pPr>
      <w:r>
        <w:rPr>
          <w:rFonts w:ascii="仿宋_GB2312" w:hAnsi="仿宋_GB2312" w:eastAsia="仿宋_GB2312" w:cs="仿宋_GB2312"/>
          <w:kern w:val="0"/>
          <w:sz w:val="27"/>
          <w:szCs w:val="27"/>
        </w:rPr>
        <w:t xml:space="preserve">    </w:t>
      </w:r>
      <w:r>
        <w:rPr>
          <w:rFonts w:hint="eastAsia" w:ascii="仿宋" w:hAnsi="仿宋" w:eastAsia="仿宋" w:cs="仿宋"/>
          <w:kern w:val="0"/>
          <w:sz w:val="30"/>
          <w:szCs w:val="30"/>
        </w:rPr>
        <w:t>化德县人民检察院 2024年度一般公共预算财政拨款支出决算 1100.50万元。与年初预算 1131.49万元相比，完成年初预算的 97.26%。其中：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w:t>
      </w: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一</w:t>
      </w:r>
      <w:r>
        <w:rPr>
          <w:rFonts w:hint="eastAsia" w:ascii="楷体" w:hAnsi="楷体" w:eastAsia="楷体" w:cs="楷体"/>
          <w:b/>
          <w:bCs/>
          <w:kern w:val="0"/>
          <w:sz w:val="32"/>
          <w:szCs w:val="32"/>
        </w:rPr>
        <w:t>）公共安全（类）</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color w:val="000000"/>
          <w:kern w:val="0"/>
          <w:sz w:val="27"/>
          <w:szCs w:val="27"/>
        </w:rPr>
        <w:t>   </w:t>
      </w:r>
      <w:r>
        <w:rPr>
          <w:rFonts w:hint="eastAsia" w:ascii="仿宋" w:hAnsi="仿宋" w:eastAsia="仿宋" w:cs="仿宋"/>
          <w:kern w:val="0"/>
          <w:sz w:val="30"/>
          <w:szCs w:val="30"/>
        </w:rPr>
        <w:t xml:space="preserve"> 公共安全类决算数为</w:t>
      </w:r>
      <w:r>
        <w:rPr>
          <w:rFonts w:hint="eastAsia" w:ascii="仿宋" w:hAnsi="仿宋" w:eastAsia="仿宋" w:cs="仿宋"/>
          <w:kern w:val="0"/>
          <w:sz w:val="30"/>
          <w:szCs w:val="30"/>
          <w:lang w:val="en-US" w:eastAsia="zh-CN"/>
        </w:rPr>
        <w:t>952.22</w:t>
      </w:r>
      <w:r>
        <w:rPr>
          <w:rFonts w:hint="eastAsia" w:ascii="仿宋" w:hAnsi="仿宋" w:eastAsia="仿宋" w:cs="仿宋"/>
          <w:kern w:val="0"/>
          <w:sz w:val="30"/>
          <w:szCs w:val="30"/>
        </w:rPr>
        <w:t>万元，与年初预算相比减少</w:t>
      </w:r>
      <w:r>
        <w:rPr>
          <w:rFonts w:hint="eastAsia" w:ascii="仿宋" w:hAnsi="仿宋" w:eastAsia="仿宋" w:cs="仿宋"/>
          <w:kern w:val="0"/>
          <w:sz w:val="30"/>
          <w:szCs w:val="30"/>
          <w:lang w:val="en-US" w:eastAsia="zh-CN"/>
        </w:rPr>
        <w:t>9.94</w:t>
      </w:r>
      <w:r>
        <w:rPr>
          <w:rFonts w:hint="eastAsia" w:ascii="仿宋" w:hAnsi="仿宋" w:eastAsia="仿宋" w:cs="仿宋"/>
          <w:kern w:val="0"/>
          <w:sz w:val="30"/>
          <w:szCs w:val="30"/>
        </w:rPr>
        <w:t>万元。其中：</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1．检察(款)行政运行(项)。年初预算</w:t>
      </w:r>
      <w:r>
        <w:rPr>
          <w:rFonts w:hint="eastAsia" w:ascii="仿宋" w:hAnsi="仿宋" w:eastAsia="仿宋" w:cs="仿宋"/>
          <w:kern w:val="0"/>
          <w:sz w:val="30"/>
          <w:szCs w:val="30"/>
          <w:lang w:val="en-US" w:eastAsia="zh-CN"/>
        </w:rPr>
        <w:t>641.89</w:t>
      </w:r>
      <w:r>
        <w:rPr>
          <w:rFonts w:hint="eastAsia" w:ascii="仿宋" w:hAnsi="仿宋" w:eastAsia="仿宋" w:cs="仿宋"/>
          <w:kern w:val="0"/>
          <w:sz w:val="30"/>
          <w:szCs w:val="30"/>
        </w:rPr>
        <w:t>万元，支出决算</w:t>
      </w:r>
      <w:r>
        <w:rPr>
          <w:rFonts w:hint="eastAsia" w:ascii="仿宋" w:hAnsi="仿宋" w:eastAsia="仿宋" w:cs="仿宋"/>
          <w:kern w:val="0"/>
          <w:sz w:val="30"/>
          <w:szCs w:val="30"/>
          <w:lang w:val="en-US" w:eastAsia="zh-CN"/>
        </w:rPr>
        <w:t>634.13</w:t>
      </w:r>
      <w:r>
        <w:rPr>
          <w:rFonts w:hint="eastAsia" w:ascii="仿宋" w:hAnsi="仿宋" w:eastAsia="仿宋" w:cs="仿宋"/>
          <w:kern w:val="0"/>
          <w:sz w:val="30"/>
          <w:szCs w:val="30"/>
        </w:rPr>
        <w:t>万元，完成年初预算的</w:t>
      </w:r>
      <w:r>
        <w:rPr>
          <w:rFonts w:hint="eastAsia" w:ascii="仿宋" w:hAnsi="仿宋" w:eastAsia="仿宋" w:cs="仿宋"/>
          <w:kern w:val="0"/>
          <w:sz w:val="30"/>
          <w:szCs w:val="30"/>
          <w:lang w:val="en-US" w:eastAsia="zh-CN"/>
        </w:rPr>
        <w:t>98.79</w:t>
      </w:r>
      <w:r>
        <w:rPr>
          <w:rFonts w:hint="eastAsia" w:ascii="仿宋" w:hAnsi="仿宋" w:eastAsia="仿宋" w:cs="仿宋"/>
          <w:kern w:val="0"/>
          <w:sz w:val="30"/>
          <w:szCs w:val="30"/>
        </w:rPr>
        <w:t>%。决算数与年初预算数的差异原因：202</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年年中</w:t>
      </w:r>
      <w:r>
        <w:rPr>
          <w:rFonts w:hint="eastAsia" w:ascii="仿宋" w:hAnsi="仿宋" w:eastAsia="仿宋" w:cs="仿宋"/>
          <w:kern w:val="0"/>
          <w:sz w:val="30"/>
          <w:szCs w:val="30"/>
          <w:lang w:val="en-US" w:eastAsia="zh-CN"/>
        </w:rPr>
        <w:t>有退休人员，财政厅下达了全年的人员工资</w:t>
      </w:r>
      <w:r>
        <w:rPr>
          <w:rFonts w:hint="eastAsia" w:ascii="仿宋" w:hAnsi="仿宋" w:eastAsia="仿宋" w:cs="仿宋"/>
          <w:kern w:val="0"/>
          <w:sz w:val="30"/>
          <w:szCs w:val="30"/>
        </w:rPr>
        <w:t>。</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2. 检察(款)</w:t>
      </w:r>
      <w:r>
        <w:rPr>
          <w:rFonts w:hint="eastAsia" w:ascii="仿宋" w:hAnsi="仿宋" w:eastAsia="仿宋" w:cs="仿宋"/>
          <w:kern w:val="0"/>
          <w:sz w:val="30"/>
          <w:szCs w:val="30"/>
          <w:lang w:val="en-US" w:eastAsia="zh-CN"/>
        </w:rPr>
        <w:t>一</w:t>
      </w:r>
      <w:r>
        <w:rPr>
          <w:rFonts w:hint="eastAsia" w:ascii="仿宋" w:hAnsi="仿宋" w:eastAsia="仿宋" w:cs="仿宋"/>
          <w:kern w:val="0"/>
          <w:sz w:val="30"/>
          <w:szCs w:val="30"/>
        </w:rPr>
        <w:t>般行政管理事</w:t>
      </w:r>
      <w:r>
        <w:rPr>
          <w:rFonts w:hint="eastAsia" w:ascii="仿宋" w:hAnsi="仿宋" w:eastAsia="仿宋" w:cs="仿宋"/>
          <w:kern w:val="0"/>
          <w:sz w:val="30"/>
          <w:szCs w:val="30"/>
          <w:lang w:val="en-US" w:eastAsia="zh-CN"/>
        </w:rPr>
        <w:t>务</w:t>
      </w:r>
      <w:r>
        <w:rPr>
          <w:rFonts w:hint="eastAsia" w:ascii="仿宋" w:hAnsi="仿宋" w:eastAsia="仿宋" w:cs="仿宋"/>
          <w:kern w:val="0"/>
          <w:sz w:val="30"/>
          <w:szCs w:val="30"/>
        </w:rPr>
        <w:t>(项)。年初预算</w:t>
      </w:r>
      <w:r>
        <w:rPr>
          <w:rFonts w:hint="eastAsia" w:ascii="仿宋" w:hAnsi="仿宋" w:eastAsia="仿宋" w:cs="仿宋"/>
          <w:kern w:val="0"/>
          <w:sz w:val="30"/>
          <w:szCs w:val="30"/>
          <w:lang w:val="en-US" w:eastAsia="zh-CN"/>
        </w:rPr>
        <w:t>318.27</w:t>
      </w:r>
      <w:r>
        <w:rPr>
          <w:rFonts w:hint="eastAsia" w:ascii="仿宋" w:hAnsi="仿宋" w:eastAsia="仿宋" w:cs="仿宋"/>
          <w:kern w:val="0"/>
          <w:sz w:val="30"/>
          <w:szCs w:val="30"/>
        </w:rPr>
        <w:t>万元，决算支出</w:t>
      </w:r>
      <w:r>
        <w:rPr>
          <w:rFonts w:hint="eastAsia" w:ascii="仿宋" w:hAnsi="仿宋" w:eastAsia="仿宋" w:cs="仿宋"/>
          <w:kern w:val="0"/>
          <w:sz w:val="30"/>
          <w:szCs w:val="30"/>
          <w:lang w:val="en-US" w:eastAsia="zh-CN"/>
        </w:rPr>
        <w:t>316.09</w:t>
      </w:r>
      <w:r>
        <w:rPr>
          <w:rFonts w:hint="eastAsia" w:ascii="仿宋" w:hAnsi="仿宋" w:eastAsia="仿宋" w:cs="仿宋"/>
          <w:kern w:val="0"/>
          <w:sz w:val="30"/>
          <w:szCs w:val="30"/>
        </w:rPr>
        <w:t>万元，完成年初预算的</w:t>
      </w:r>
      <w:r>
        <w:rPr>
          <w:rFonts w:hint="eastAsia" w:ascii="仿宋" w:hAnsi="仿宋" w:eastAsia="仿宋" w:cs="仿宋"/>
          <w:kern w:val="0"/>
          <w:sz w:val="30"/>
          <w:szCs w:val="30"/>
          <w:lang w:val="en-US" w:eastAsia="zh-CN"/>
        </w:rPr>
        <w:t>99.32</w:t>
      </w:r>
      <w:r>
        <w:rPr>
          <w:rFonts w:hint="eastAsia" w:ascii="仿宋" w:hAnsi="仿宋" w:eastAsia="仿宋" w:cs="仿宋"/>
          <w:kern w:val="0"/>
          <w:sz w:val="30"/>
          <w:szCs w:val="30"/>
        </w:rPr>
        <w:t>%。决 算数与年初预算数的差异原因：有部分经费因工作进度，未能在年底列支，成为结转结余资金。</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 xml:space="preserve"> 检察(款)</w:t>
      </w:r>
      <w:r>
        <w:rPr>
          <w:rFonts w:hint="eastAsia" w:ascii="仿宋" w:hAnsi="仿宋" w:eastAsia="仿宋" w:cs="仿宋"/>
          <w:kern w:val="0"/>
          <w:sz w:val="30"/>
          <w:szCs w:val="30"/>
          <w:lang w:val="en-US" w:eastAsia="zh-CN"/>
        </w:rPr>
        <w:t>其他检察支出</w:t>
      </w:r>
      <w:r>
        <w:rPr>
          <w:rFonts w:hint="eastAsia" w:ascii="仿宋" w:hAnsi="仿宋" w:eastAsia="仿宋" w:cs="仿宋"/>
          <w:kern w:val="0"/>
          <w:sz w:val="30"/>
          <w:szCs w:val="30"/>
        </w:rPr>
        <w:t>(项)。年初预算</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万元，决算支出</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万元，完成年初预算的</w:t>
      </w:r>
      <w:r>
        <w:rPr>
          <w:rFonts w:hint="eastAsia" w:ascii="仿宋" w:hAnsi="仿宋" w:eastAsia="仿宋" w:cs="仿宋"/>
          <w:kern w:val="0"/>
          <w:sz w:val="30"/>
          <w:szCs w:val="30"/>
          <w:lang w:val="en-US" w:eastAsia="zh-CN"/>
        </w:rPr>
        <w:t>99.5</w:t>
      </w:r>
      <w:r>
        <w:rPr>
          <w:rFonts w:hint="eastAsia" w:ascii="仿宋" w:hAnsi="仿宋" w:eastAsia="仿宋" w:cs="仿宋"/>
          <w:kern w:val="0"/>
          <w:sz w:val="30"/>
          <w:szCs w:val="30"/>
        </w:rPr>
        <w:t>%。决 算数与年初预算数的差异原因：</w:t>
      </w:r>
      <w:r>
        <w:rPr>
          <w:rFonts w:hint="eastAsia" w:ascii="仿宋" w:hAnsi="仿宋" w:eastAsia="仿宋" w:cs="仿宋"/>
          <w:kern w:val="0"/>
          <w:sz w:val="30"/>
          <w:szCs w:val="30"/>
          <w:lang w:val="en-US" w:eastAsia="zh-CN"/>
        </w:rPr>
        <w:t>与年初预算一致无差异</w:t>
      </w:r>
      <w:r>
        <w:rPr>
          <w:rFonts w:hint="eastAsia" w:ascii="仿宋" w:hAnsi="仿宋" w:eastAsia="仿宋" w:cs="仿宋"/>
          <w:kern w:val="0"/>
          <w:sz w:val="30"/>
          <w:szCs w:val="30"/>
        </w:rPr>
        <w:t>。</w:t>
      </w:r>
    </w:p>
    <w:p>
      <w:pPr>
        <w:widowControl/>
        <w:spacing w:before="240" w:after="240"/>
        <w:jc w:val="left"/>
        <w:rPr>
          <w:rFonts w:hint="eastAsia" w:ascii="楷体" w:hAnsi="楷体" w:eastAsia="楷体" w:cs="楷体"/>
          <w:kern w:val="0"/>
          <w:sz w:val="32"/>
          <w:szCs w:val="32"/>
        </w:rPr>
      </w:pPr>
      <w:r>
        <w:rPr>
          <w:rFonts w:ascii="kai_ti_gb2312" w:hAnsi="kai_ti_gb2312" w:eastAsia="kai_ti_gb2312" w:cs="kai_ti_gb2312"/>
          <w:b/>
          <w:bCs/>
          <w:color w:val="000000"/>
          <w:kern w:val="0"/>
          <w:sz w:val="27"/>
          <w:szCs w:val="27"/>
        </w:rPr>
        <w:t xml:space="preserve">  </w:t>
      </w:r>
      <w:r>
        <w:rPr>
          <w:rFonts w:ascii="kai_ti_gb2312" w:hAnsi="kai_ti_gb2312" w:eastAsia="kai_ti_gb2312" w:cs="kai_ti_gb2312"/>
          <w:b/>
          <w:bCs/>
          <w:color w:val="auto"/>
          <w:kern w:val="0"/>
          <w:sz w:val="27"/>
          <w:szCs w:val="27"/>
        </w:rPr>
        <w:t xml:space="preserve">  </w:t>
      </w: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二</w:t>
      </w:r>
      <w:r>
        <w:rPr>
          <w:rFonts w:hint="eastAsia" w:ascii="楷体" w:hAnsi="楷体" w:eastAsia="楷体" w:cs="楷体"/>
          <w:b/>
          <w:bCs/>
          <w:kern w:val="0"/>
          <w:sz w:val="32"/>
          <w:szCs w:val="32"/>
        </w:rPr>
        <w:t>）社会保障和就业支出（类）</w:t>
      </w:r>
    </w:p>
    <w:p>
      <w:pPr>
        <w:widowControl/>
        <w:spacing w:before="240" w:after="240"/>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社会保障和就业支出类决算数为</w:t>
      </w:r>
      <w:r>
        <w:rPr>
          <w:rFonts w:hint="eastAsia" w:ascii="仿宋" w:hAnsi="仿宋" w:eastAsia="仿宋" w:cs="仿宋"/>
          <w:kern w:val="0"/>
          <w:sz w:val="30"/>
          <w:szCs w:val="30"/>
          <w:lang w:val="en-US" w:eastAsia="zh-CN"/>
        </w:rPr>
        <w:t>67.34</w:t>
      </w:r>
      <w:r>
        <w:rPr>
          <w:rFonts w:hint="eastAsia" w:ascii="仿宋" w:hAnsi="仿宋" w:eastAsia="仿宋" w:cs="仿宋"/>
          <w:kern w:val="0"/>
          <w:sz w:val="30"/>
          <w:szCs w:val="30"/>
        </w:rPr>
        <w:t>万元，与年初预算相比</w:t>
      </w:r>
      <w:r>
        <w:rPr>
          <w:rFonts w:hint="eastAsia" w:ascii="仿宋" w:hAnsi="仿宋" w:eastAsia="仿宋" w:cs="仿宋"/>
          <w:kern w:val="0"/>
          <w:sz w:val="30"/>
          <w:szCs w:val="30"/>
          <w:lang w:val="en-US" w:eastAsia="zh-CN"/>
        </w:rPr>
        <w:t>减少5.31万元。</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1．行政事业单位养老支出（款）机关事业单位基本养老保险缴费支出（项）。年初预算</w:t>
      </w:r>
      <w:r>
        <w:rPr>
          <w:rFonts w:hint="eastAsia" w:ascii="仿宋" w:hAnsi="仿宋" w:eastAsia="仿宋" w:cs="仿宋"/>
          <w:kern w:val="0"/>
          <w:sz w:val="30"/>
          <w:szCs w:val="30"/>
          <w:lang w:val="en-US" w:eastAsia="zh-CN"/>
        </w:rPr>
        <w:t>48.44</w:t>
      </w:r>
      <w:r>
        <w:rPr>
          <w:rFonts w:hint="eastAsia" w:ascii="仿宋" w:hAnsi="仿宋" w:eastAsia="仿宋" w:cs="仿宋"/>
          <w:kern w:val="0"/>
          <w:sz w:val="30"/>
          <w:szCs w:val="30"/>
        </w:rPr>
        <w:t>万元，支出决算</w:t>
      </w:r>
      <w:r>
        <w:rPr>
          <w:rFonts w:hint="eastAsia" w:ascii="仿宋" w:hAnsi="仿宋" w:eastAsia="仿宋" w:cs="仿宋"/>
          <w:kern w:val="0"/>
          <w:sz w:val="30"/>
          <w:szCs w:val="30"/>
          <w:lang w:val="en-US" w:eastAsia="zh-CN"/>
        </w:rPr>
        <w:t>45.85</w:t>
      </w:r>
      <w:r>
        <w:rPr>
          <w:rFonts w:hint="eastAsia" w:ascii="仿宋" w:hAnsi="仿宋" w:eastAsia="仿宋" w:cs="仿宋"/>
          <w:kern w:val="0"/>
          <w:sz w:val="30"/>
          <w:szCs w:val="30"/>
        </w:rPr>
        <w:t>万元，完成年初预算的</w:t>
      </w:r>
      <w:r>
        <w:rPr>
          <w:rFonts w:hint="eastAsia" w:ascii="仿宋" w:hAnsi="仿宋" w:eastAsia="仿宋" w:cs="仿宋"/>
          <w:kern w:val="0"/>
          <w:sz w:val="30"/>
          <w:szCs w:val="30"/>
          <w:lang w:val="en-US" w:eastAsia="zh-CN"/>
        </w:rPr>
        <w:t>94.65</w:t>
      </w:r>
      <w:r>
        <w:rPr>
          <w:rFonts w:hint="eastAsia" w:ascii="仿宋" w:hAnsi="仿宋" w:eastAsia="仿宋" w:cs="仿宋"/>
          <w:kern w:val="0"/>
          <w:sz w:val="30"/>
          <w:szCs w:val="30"/>
        </w:rPr>
        <w:t xml:space="preserve"> %。决算数与年初预算数的差异原因：</w:t>
      </w:r>
      <w:r>
        <w:rPr>
          <w:rFonts w:hint="eastAsia" w:ascii="仿宋" w:hAnsi="仿宋" w:eastAsia="仿宋" w:cs="仿宋"/>
          <w:kern w:val="0"/>
          <w:sz w:val="30"/>
          <w:szCs w:val="30"/>
          <w:lang w:val="en-US" w:eastAsia="zh-CN"/>
        </w:rPr>
        <w:t>因年中有退休人员，预算时下达为全年预算资金，所以有差异</w:t>
      </w:r>
      <w:r>
        <w:rPr>
          <w:rFonts w:hint="eastAsia" w:ascii="仿宋" w:hAnsi="仿宋" w:eastAsia="仿宋" w:cs="仿宋"/>
          <w:kern w:val="0"/>
          <w:sz w:val="30"/>
          <w:szCs w:val="30"/>
        </w:rPr>
        <w:t>。</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2．行政事业单位养老支出（款）机关事业单位职业年金缴费支出（项）。年初预算</w:t>
      </w:r>
      <w:r>
        <w:rPr>
          <w:rFonts w:hint="eastAsia" w:ascii="仿宋" w:hAnsi="仿宋" w:eastAsia="仿宋" w:cs="仿宋"/>
          <w:kern w:val="0"/>
          <w:sz w:val="30"/>
          <w:szCs w:val="30"/>
          <w:lang w:val="en-US" w:eastAsia="zh-CN"/>
        </w:rPr>
        <w:t>24.22</w:t>
      </w:r>
      <w:r>
        <w:rPr>
          <w:rFonts w:hint="eastAsia" w:ascii="仿宋" w:hAnsi="仿宋" w:eastAsia="仿宋" w:cs="仿宋"/>
          <w:kern w:val="0"/>
          <w:sz w:val="30"/>
          <w:szCs w:val="30"/>
        </w:rPr>
        <w:t>万元，支出决算</w:t>
      </w:r>
      <w:r>
        <w:rPr>
          <w:rFonts w:hint="eastAsia" w:ascii="仿宋" w:hAnsi="仿宋" w:eastAsia="仿宋" w:cs="仿宋"/>
          <w:kern w:val="0"/>
          <w:sz w:val="30"/>
          <w:szCs w:val="30"/>
          <w:lang w:val="en-US" w:eastAsia="zh-CN"/>
        </w:rPr>
        <w:t>21.49</w:t>
      </w:r>
      <w:r>
        <w:rPr>
          <w:rFonts w:hint="eastAsia" w:ascii="仿宋" w:hAnsi="仿宋" w:eastAsia="仿宋" w:cs="仿宋"/>
          <w:kern w:val="0"/>
          <w:sz w:val="30"/>
          <w:szCs w:val="30"/>
        </w:rPr>
        <w:t>万元，完成年初预算的</w:t>
      </w:r>
      <w:r>
        <w:rPr>
          <w:rFonts w:hint="eastAsia" w:ascii="仿宋" w:hAnsi="仿宋" w:eastAsia="仿宋" w:cs="仿宋"/>
          <w:kern w:val="0"/>
          <w:sz w:val="30"/>
          <w:szCs w:val="30"/>
          <w:lang w:val="en-US" w:eastAsia="zh-CN"/>
        </w:rPr>
        <w:t>88.73</w:t>
      </w:r>
      <w:r>
        <w:rPr>
          <w:rFonts w:hint="eastAsia" w:ascii="仿宋" w:hAnsi="仿宋" w:eastAsia="仿宋" w:cs="仿宋"/>
          <w:kern w:val="0"/>
          <w:sz w:val="30"/>
          <w:szCs w:val="30"/>
        </w:rPr>
        <w:t>%。决算数与年初预算数的差异原因：</w:t>
      </w:r>
      <w:r>
        <w:rPr>
          <w:rFonts w:hint="eastAsia" w:ascii="仿宋" w:hAnsi="仿宋" w:eastAsia="仿宋" w:cs="仿宋"/>
          <w:kern w:val="0"/>
          <w:sz w:val="30"/>
          <w:szCs w:val="30"/>
          <w:lang w:val="en-US" w:eastAsia="zh-CN"/>
        </w:rPr>
        <w:t>因年中有退休人员，预算时下达为全年预算资金，所以有差异</w:t>
      </w:r>
      <w:r>
        <w:rPr>
          <w:rFonts w:hint="eastAsia" w:ascii="仿宋" w:hAnsi="仿宋" w:eastAsia="仿宋" w:cs="仿宋"/>
          <w:kern w:val="0"/>
          <w:sz w:val="30"/>
          <w:szCs w:val="30"/>
        </w:rPr>
        <w:t>。</w:t>
      </w:r>
    </w:p>
    <w:p>
      <w:pPr>
        <w:widowControl/>
        <w:spacing w:before="240" w:after="240"/>
        <w:rPr>
          <w:rFonts w:hint="eastAsia" w:ascii="仿宋" w:hAnsi="仿宋" w:eastAsia="仿宋" w:cs="仿宋"/>
          <w:kern w:val="0"/>
          <w:sz w:val="30"/>
          <w:szCs w:val="30"/>
        </w:rPr>
      </w:pPr>
      <w:r>
        <w:rPr>
          <w:rFonts w:hint="eastAsia" w:ascii="楷体" w:hAnsi="楷体" w:eastAsia="楷体" w:cs="楷体"/>
          <w:b/>
          <w:bCs/>
          <w:kern w:val="0"/>
          <w:sz w:val="32"/>
          <w:szCs w:val="32"/>
        </w:rPr>
        <w:t>    （</w:t>
      </w:r>
      <w:r>
        <w:rPr>
          <w:rFonts w:hint="eastAsia" w:ascii="楷体" w:hAnsi="楷体" w:eastAsia="楷体" w:cs="楷体"/>
          <w:b/>
          <w:bCs/>
          <w:kern w:val="0"/>
          <w:sz w:val="32"/>
          <w:szCs w:val="32"/>
          <w:lang w:val="en-US" w:eastAsia="zh-CN"/>
        </w:rPr>
        <w:t>三</w:t>
      </w:r>
      <w:r>
        <w:rPr>
          <w:rFonts w:hint="eastAsia" w:ascii="楷体" w:hAnsi="楷体" w:eastAsia="楷体" w:cs="楷体"/>
          <w:b/>
          <w:bCs/>
          <w:kern w:val="0"/>
          <w:sz w:val="32"/>
          <w:szCs w:val="32"/>
        </w:rPr>
        <w:t>）卫生健康支出（类）</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xml:space="preserve">    卫生健康支出类决算数为 </w:t>
      </w:r>
      <w:r>
        <w:rPr>
          <w:rFonts w:hint="eastAsia" w:ascii="仿宋" w:hAnsi="仿宋" w:eastAsia="仿宋" w:cs="仿宋"/>
          <w:kern w:val="0"/>
          <w:sz w:val="30"/>
          <w:szCs w:val="30"/>
          <w:lang w:val="en-US" w:eastAsia="zh-CN"/>
        </w:rPr>
        <w:t>35.01</w:t>
      </w:r>
      <w:r>
        <w:rPr>
          <w:rFonts w:hint="eastAsia" w:ascii="仿宋" w:hAnsi="仿宋" w:eastAsia="仿宋" w:cs="仿宋"/>
          <w:kern w:val="0"/>
          <w:sz w:val="30"/>
          <w:szCs w:val="30"/>
        </w:rPr>
        <w:t>万元，与年初预算相比减少</w:t>
      </w:r>
      <w:r>
        <w:rPr>
          <w:rFonts w:hint="eastAsia" w:ascii="仿宋" w:hAnsi="仿宋" w:eastAsia="仿宋" w:cs="仿宋"/>
          <w:kern w:val="0"/>
          <w:sz w:val="30"/>
          <w:szCs w:val="30"/>
          <w:lang w:val="en-US" w:eastAsia="zh-CN"/>
        </w:rPr>
        <w:t>3.01</w:t>
      </w:r>
      <w:r>
        <w:rPr>
          <w:rFonts w:hint="eastAsia" w:ascii="仿宋" w:hAnsi="仿宋" w:eastAsia="仿宋" w:cs="仿宋"/>
          <w:kern w:val="0"/>
          <w:sz w:val="30"/>
          <w:szCs w:val="30"/>
        </w:rPr>
        <w:t>7万元。其中：</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1．行政事业单位医疗（款）行政单位医疗（项）。年初预算</w:t>
      </w:r>
      <w:r>
        <w:rPr>
          <w:rFonts w:hint="eastAsia" w:ascii="仿宋" w:hAnsi="仿宋" w:eastAsia="仿宋" w:cs="仿宋"/>
          <w:kern w:val="0"/>
          <w:sz w:val="30"/>
          <w:szCs w:val="30"/>
          <w:lang w:val="en-US" w:eastAsia="zh-CN"/>
        </w:rPr>
        <w:t>24.69</w:t>
      </w:r>
      <w:r>
        <w:rPr>
          <w:rFonts w:hint="eastAsia" w:ascii="仿宋" w:hAnsi="仿宋" w:eastAsia="仿宋" w:cs="仿宋"/>
          <w:kern w:val="0"/>
          <w:sz w:val="30"/>
          <w:szCs w:val="30"/>
        </w:rPr>
        <w:t>万元，支出决算</w:t>
      </w:r>
      <w:r>
        <w:rPr>
          <w:rFonts w:hint="eastAsia" w:ascii="仿宋" w:hAnsi="仿宋" w:eastAsia="仿宋" w:cs="仿宋"/>
          <w:kern w:val="0"/>
          <w:sz w:val="30"/>
          <w:szCs w:val="30"/>
          <w:lang w:val="en-US" w:eastAsia="zh-CN"/>
        </w:rPr>
        <w:t>23.74</w:t>
      </w:r>
      <w:r>
        <w:rPr>
          <w:rFonts w:hint="eastAsia" w:ascii="仿宋" w:hAnsi="仿宋" w:eastAsia="仿宋" w:cs="仿宋"/>
          <w:kern w:val="0"/>
          <w:sz w:val="30"/>
          <w:szCs w:val="30"/>
        </w:rPr>
        <w:t>万元，完成年初预算的</w:t>
      </w:r>
      <w:r>
        <w:rPr>
          <w:rFonts w:hint="eastAsia" w:ascii="仿宋" w:hAnsi="仿宋" w:eastAsia="仿宋" w:cs="仿宋"/>
          <w:kern w:val="0"/>
          <w:sz w:val="30"/>
          <w:szCs w:val="30"/>
          <w:lang w:val="en-US" w:eastAsia="zh-CN"/>
        </w:rPr>
        <w:t>96.15</w:t>
      </w:r>
      <w:r>
        <w:rPr>
          <w:rFonts w:hint="eastAsia" w:ascii="仿宋" w:hAnsi="仿宋" w:eastAsia="仿宋" w:cs="仿宋"/>
          <w:kern w:val="0"/>
          <w:sz w:val="30"/>
          <w:szCs w:val="30"/>
        </w:rPr>
        <w:t>%。决算数与年初预算数的差异原因：</w:t>
      </w:r>
      <w:r>
        <w:rPr>
          <w:rFonts w:hint="eastAsia" w:ascii="仿宋" w:hAnsi="仿宋" w:eastAsia="仿宋" w:cs="仿宋"/>
          <w:kern w:val="0"/>
          <w:sz w:val="30"/>
          <w:szCs w:val="30"/>
          <w:lang w:val="en-US" w:eastAsia="zh-CN"/>
        </w:rPr>
        <w:t>因年中有退休人员，预算时下达为全年预算资金，所以有差异</w:t>
      </w:r>
      <w:r>
        <w:rPr>
          <w:rFonts w:hint="eastAsia" w:ascii="仿宋" w:hAnsi="仿宋" w:eastAsia="仿宋" w:cs="仿宋"/>
          <w:kern w:val="0"/>
          <w:sz w:val="30"/>
          <w:szCs w:val="30"/>
        </w:rPr>
        <w:t>。</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2．行政事业单位医疗（款）公务员医疗补助（项）。年初预算</w:t>
      </w:r>
      <w:r>
        <w:rPr>
          <w:rFonts w:hint="eastAsia" w:ascii="仿宋" w:hAnsi="仿宋" w:eastAsia="仿宋" w:cs="仿宋"/>
          <w:kern w:val="0"/>
          <w:sz w:val="30"/>
          <w:szCs w:val="30"/>
          <w:lang w:val="en-US" w:eastAsia="zh-CN"/>
        </w:rPr>
        <w:t>13.33</w:t>
      </w:r>
      <w:r>
        <w:rPr>
          <w:rFonts w:hint="eastAsia" w:ascii="仿宋" w:hAnsi="仿宋" w:eastAsia="仿宋" w:cs="仿宋"/>
          <w:kern w:val="0"/>
          <w:sz w:val="30"/>
          <w:szCs w:val="30"/>
        </w:rPr>
        <w:t>万元，支出决算</w:t>
      </w:r>
      <w:r>
        <w:rPr>
          <w:rFonts w:hint="eastAsia" w:ascii="仿宋" w:hAnsi="仿宋" w:eastAsia="仿宋" w:cs="仿宋"/>
          <w:kern w:val="0"/>
          <w:sz w:val="30"/>
          <w:szCs w:val="30"/>
          <w:lang w:val="en-US" w:eastAsia="zh-CN"/>
        </w:rPr>
        <w:t>11.27</w:t>
      </w:r>
      <w:r>
        <w:rPr>
          <w:rFonts w:hint="eastAsia" w:ascii="仿宋" w:hAnsi="仿宋" w:eastAsia="仿宋" w:cs="仿宋"/>
          <w:kern w:val="0"/>
          <w:sz w:val="30"/>
          <w:szCs w:val="30"/>
        </w:rPr>
        <w:t>万元，完成年初预算的</w:t>
      </w:r>
      <w:r>
        <w:rPr>
          <w:rFonts w:hint="eastAsia" w:ascii="仿宋" w:hAnsi="仿宋" w:eastAsia="仿宋" w:cs="仿宋"/>
          <w:kern w:val="0"/>
          <w:sz w:val="30"/>
          <w:szCs w:val="30"/>
          <w:lang w:val="en-US" w:eastAsia="zh-CN"/>
        </w:rPr>
        <w:t>84.55</w:t>
      </w:r>
      <w:r>
        <w:rPr>
          <w:rFonts w:hint="eastAsia" w:ascii="仿宋" w:hAnsi="仿宋" w:eastAsia="仿宋" w:cs="仿宋"/>
          <w:kern w:val="0"/>
          <w:sz w:val="30"/>
          <w:szCs w:val="30"/>
        </w:rPr>
        <w:t xml:space="preserve"> %。决算数与年初预算数的差异原因：</w:t>
      </w:r>
      <w:r>
        <w:rPr>
          <w:rFonts w:hint="eastAsia" w:ascii="仿宋" w:hAnsi="仿宋" w:eastAsia="仿宋" w:cs="仿宋"/>
          <w:kern w:val="0"/>
          <w:sz w:val="30"/>
          <w:szCs w:val="30"/>
          <w:lang w:val="en-US" w:eastAsia="zh-CN"/>
        </w:rPr>
        <w:t>因年中有退休人员，预算时下达为全年预算资金，所以有差异</w:t>
      </w:r>
      <w:r>
        <w:rPr>
          <w:rFonts w:hint="eastAsia" w:ascii="仿宋" w:hAnsi="仿宋" w:eastAsia="仿宋" w:cs="仿宋"/>
          <w:kern w:val="0"/>
          <w:sz w:val="30"/>
          <w:szCs w:val="30"/>
        </w:rPr>
        <w:t>。</w:t>
      </w:r>
    </w:p>
    <w:p>
      <w:pPr>
        <w:widowControl/>
        <w:spacing w:before="240" w:after="240"/>
        <w:jc w:val="left"/>
        <w:rPr>
          <w:rFonts w:hint="eastAsia" w:ascii="楷体" w:hAnsi="楷体" w:eastAsia="楷体" w:cs="楷体"/>
          <w:kern w:val="0"/>
          <w:sz w:val="32"/>
          <w:szCs w:val="32"/>
        </w:rPr>
      </w:pPr>
      <w:r>
        <w:rPr>
          <w:rFonts w:hint="eastAsia" w:ascii="楷体" w:hAnsi="楷体" w:eastAsia="楷体" w:cs="楷体"/>
          <w:b/>
          <w:bCs/>
          <w:kern w:val="0"/>
          <w:sz w:val="32"/>
          <w:szCs w:val="32"/>
        </w:rPr>
        <w:t>    （</w:t>
      </w: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rPr>
        <w:t>）住房保障支出（类）</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xml:space="preserve">    住房保障支出类决算数为 </w:t>
      </w:r>
      <w:r>
        <w:rPr>
          <w:rFonts w:hint="eastAsia" w:ascii="仿宋" w:hAnsi="仿宋" w:eastAsia="仿宋" w:cs="仿宋"/>
          <w:kern w:val="0"/>
          <w:sz w:val="30"/>
          <w:szCs w:val="30"/>
          <w:lang w:val="en-US" w:eastAsia="zh-CN"/>
        </w:rPr>
        <w:t>45.93</w:t>
      </w:r>
      <w:r>
        <w:rPr>
          <w:rFonts w:hint="eastAsia" w:ascii="仿宋" w:hAnsi="仿宋" w:eastAsia="仿宋" w:cs="仿宋"/>
          <w:kern w:val="0"/>
          <w:sz w:val="30"/>
          <w:szCs w:val="30"/>
        </w:rPr>
        <w:t xml:space="preserve">万元，与年初预算相比减少 </w:t>
      </w:r>
      <w:r>
        <w:rPr>
          <w:rFonts w:hint="eastAsia" w:ascii="仿宋" w:hAnsi="仿宋" w:eastAsia="仿宋" w:cs="仿宋"/>
          <w:kern w:val="0"/>
          <w:sz w:val="30"/>
          <w:szCs w:val="30"/>
          <w:lang w:val="en-US" w:eastAsia="zh-CN"/>
        </w:rPr>
        <w:t>12.73</w:t>
      </w:r>
      <w:r>
        <w:rPr>
          <w:rFonts w:hint="eastAsia" w:ascii="仿宋" w:hAnsi="仿宋" w:eastAsia="仿宋" w:cs="仿宋"/>
          <w:kern w:val="0"/>
          <w:sz w:val="30"/>
          <w:szCs w:val="30"/>
        </w:rPr>
        <w:t>万元。其中：</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1．住房改革支出（款）住房公积金（项）。年初预算</w:t>
      </w:r>
      <w:r>
        <w:rPr>
          <w:rFonts w:hint="eastAsia" w:ascii="仿宋" w:hAnsi="仿宋" w:eastAsia="仿宋" w:cs="仿宋"/>
          <w:kern w:val="0"/>
          <w:sz w:val="30"/>
          <w:szCs w:val="30"/>
          <w:lang w:val="en-US" w:eastAsia="zh-CN"/>
        </w:rPr>
        <w:t>58.66</w:t>
      </w:r>
      <w:r>
        <w:rPr>
          <w:rFonts w:hint="eastAsia" w:ascii="仿宋" w:hAnsi="仿宋" w:eastAsia="仿宋" w:cs="仿宋"/>
          <w:kern w:val="0"/>
          <w:sz w:val="30"/>
          <w:szCs w:val="30"/>
        </w:rPr>
        <w:t>万元，支出决算</w:t>
      </w:r>
      <w:r>
        <w:rPr>
          <w:rFonts w:hint="eastAsia" w:ascii="仿宋" w:hAnsi="仿宋" w:eastAsia="仿宋" w:cs="仿宋"/>
          <w:kern w:val="0"/>
          <w:sz w:val="30"/>
          <w:szCs w:val="30"/>
          <w:lang w:val="en-US" w:eastAsia="zh-CN"/>
        </w:rPr>
        <w:t>48.93</w:t>
      </w:r>
      <w:r>
        <w:rPr>
          <w:rFonts w:hint="eastAsia" w:ascii="仿宋" w:hAnsi="仿宋" w:eastAsia="仿宋" w:cs="仿宋"/>
          <w:kern w:val="0"/>
          <w:sz w:val="30"/>
          <w:szCs w:val="30"/>
        </w:rPr>
        <w:t>万元，完成年初预算的</w:t>
      </w:r>
      <w:r>
        <w:rPr>
          <w:rFonts w:hint="eastAsia" w:ascii="仿宋" w:hAnsi="仿宋" w:eastAsia="仿宋" w:cs="仿宋"/>
          <w:kern w:val="0"/>
          <w:sz w:val="30"/>
          <w:szCs w:val="30"/>
          <w:lang w:val="en-US" w:eastAsia="zh-CN"/>
        </w:rPr>
        <w:t>83.41</w:t>
      </w:r>
      <w:r>
        <w:rPr>
          <w:rFonts w:hint="eastAsia" w:ascii="仿宋" w:hAnsi="仿宋" w:eastAsia="仿宋" w:cs="仿宋"/>
          <w:kern w:val="0"/>
          <w:sz w:val="30"/>
          <w:szCs w:val="30"/>
        </w:rPr>
        <w:t>%。决算数与年初预算数的差异原因：因</w:t>
      </w:r>
      <w:r>
        <w:rPr>
          <w:rFonts w:hint="eastAsia" w:ascii="仿宋" w:hAnsi="仿宋" w:eastAsia="仿宋" w:cs="仿宋"/>
          <w:kern w:val="0"/>
          <w:sz w:val="30"/>
          <w:szCs w:val="30"/>
          <w:lang w:val="en-US" w:eastAsia="zh-CN"/>
        </w:rPr>
        <w:t>有</w:t>
      </w:r>
      <w:r>
        <w:rPr>
          <w:rFonts w:hint="eastAsia" w:ascii="仿宋" w:hAnsi="仿宋" w:eastAsia="仿宋" w:cs="仿宋"/>
          <w:kern w:val="0"/>
          <w:sz w:val="30"/>
          <w:szCs w:val="30"/>
        </w:rPr>
        <w:t>人员</w:t>
      </w:r>
      <w:r>
        <w:rPr>
          <w:rFonts w:hint="eastAsia" w:ascii="仿宋" w:hAnsi="仿宋" w:eastAsia="仿宋" w:cs="仿宋"/>
          <w:kern w:val="0"/>
          <w:sz w:val="30"/>
          <w:szCs w:val="30"/>
          <w:lang w:val="en-US" w:eastAsia="zh-CN"/>
        </w:rPr>
        <w:t>退休和离职</w:t>
      </w:r>
      <w:r>
        <w:rPr>
          <w:rFonts w:hint="eastAsia" w:ascii="仿宋" w:hAnsi="仿宋" w:eastAsia="仿宋" w:cs="仿宋"/>
          <w:kern w:val="0"/>
          <w:sz w:val="30"/>
          <w:szCs w:val="30"/>
        </w:rPr>
        <w:t>，住房公积金也相应</w:t>
      </w:r>
      <w:r>
        <w:rPr>
          <w:rFonts w:hint="eastAsia" w:ascii="仿宋" w:hAnsi="仿宋" w:eastAsia="仿宋" w:cs="仿宋"/>
          <w:kern w:val="0"/>
          <w:sz w:val="30"/>
          <w:szCs w:val="30"/>
          <w:lang w:val="en-US" w:eastAsia="zh-CN"/>
        </w:rPr>
        <w:t>停缴</w:t>
      </w:r>
      <w:r>
        <w:rPr>
          <w:rFonts w:hint="eastAsia" w:ascii="仿宋" w:hAnsi="仿宋" w:eastAsia="仿宋" w:cs="仿宋"/>
          <w:kern w:val="0"/>
          <w:sz w:val="30"/>
          <w:szCs w:val="30"/>
        </w:rPr>
        <w:t>，所以导致</w:t>
      </w:r>
      <w:r>
        <w:rPr>
          <w:rFonts w:hint="eastAsia" w:ascii="仿宋" w:hAnsi="仿宋" w:eastAsia="仿宋" w:cs="仿宋"/>
          <w:kern w:val="0"/>
          <w:sz w:val="30"/>
          <w:szCs w:val="30"/>
          <w:lang w:val="en-US" w:eastAsia="zh-CN"/>
        </w:rPr>
        <w:t>有差异</w:t>
      </w:r>
      <w:r>
        <w:rPr>
          <w:rFonts w:hint="eastAsia" w:ascii="仿宋" w:hAnsi="仿宋" w:eastAsia="仿宋" w:cs="仿宋"/>
          <w:kern w:val="0"/>
          <w:sz w:val="30"/>
          <w:szCs w:val="30"/>
        </w:rPr>
        <w:t>。</w:t>
      </w:r>
    </w:p>
    <w:p>
      <w:pPr>
        <w:widowControl/>
        <w:spacing w:before="240" w:after="240"/>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hint="eastAsia" w:ascii="仿宋" w:hAnsi="仿宋" w:eastAsia="仿宋" w:cs="仿宋"/>
          <w:kern w:val="0"/>
          <w:sz w:val="30"/>
          <w:szCs w:val="30"/>
        </w:rPr>
        <w:t>化德县人民检察院 2024年度一般公共预算财政拨款基本支出决算 782.41万元，其中：</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w:t>
      </w:r>
      <w:r>
        <w:rPr>
          <w:rFonts w:hint="eastAsia" w:ascii="仿宋" w:hAnsi="仿宋" w:eastAsia="仿宋" w:cs="仿宋"/>
          <w:spacing w:val="4"/>
          <w:sz w:val="30"/>
          <w:szCs w:val="30"/>
        </w:rPr>
        <w:t xml:space="preserve"> </w:t>
      </w:r>
      <w:r>
        <w:rPr>
          <w:rFonts w:hint="eastAsia" w:ascii="仿宋" w:hAnsi="仿宋" w:eastAsia="仿宋" w:cs="仿宋"/>
          <w:b/>
          <w:bCs/>
          <w:spacing w:val="4"/>
          <w:sz w:val="30"/>
          <w:szCs w:val="30"/>
        </w:rPr>
        <w:t>（一）人员经费 704.57万元。</w:t>
      </w:r>
      <w:r>
        <w:rPr>
          <w:rFonts w:hint="eastAsia" w:ascii="仿宋" w:hAnsi="仿宋" w:eastAsia="仿宋" w:cs="仿宋"/>
          <w:kern w:val="0"/>
          <w:sz w:val="30"/>
          <w:szCs w:val="30"/>
        </w:rPr>
        <w:t>主要包括：基本工资、津贴补贴、奖金、伙食补助费、绩效工资、机关事业单位基本养老保险缴费、职业年金缴费、职工基本医疗保险缴费、公务员医疗补助缴费、住房公积金、其他工资福利支出、离休费、退休费、抚恤金、生活补助、医疗费补助、奖励金、其他对个人和家庭的补助支出等。</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b/>
          <w:bCs/>
          <w:color w:val="000000"/>
          <w:kern w:val="0"/>
          <w:sz w:val="27"/>
          <w:szCs w:val="27"/>
        </w:rPr>
        <w:t xml:space="preserve">    </w:t>
      </w:r>
      <w:r>
        <w:rPr>
          <w:rFonts w:hint="eastAsia" w:ascii="仿宋" w:hAnsi="仿宋" w:eastAsia="仿宋" w:cs="仿宋"/>
          <w:b/>
          <w:bCs/>
          <w:kern w:val="0"/>
          <w:sz w:val="30"/>
          <w:szCs w:val="30"/>
        </w:rPr>
        <w:t>（二）公用经费 77.85万元。</w:t>
      </w:r>
      <w:r>
        <w:rPr>
          <w:rFonts w:hint="eastAsia" w:ascii="仿宋" w:hAnsi="仿宋" w:eastAsia="仿宋" w:cs="仿宋"/>
          <w:kern w:val="0"/>
          <w:sz w:val="30"/>
          <w:szCs w:val="30"/>
        </w:rPr>
        <w:t>主要包括：办公费、印刷费、咨询费、手续费、水费、电费、邮电费、取暖费、物业管理费、差旅费、维修（护）费、租赁费、会议费、培训费、公务接待费、专用材料费、劳务费、委托业务费、工会经费、福利费、公务用车</w:t>
      </w:r>
      <w:r>
        <w:rPr>
          <w:rFonts w:hint="eastAsia" w:ascii="仿宋_GB2312" w:hAnsi="仿宋_GB2312" w:eastAsia="仿宋_GB2312" w:cs="仿宋_GB2312"/>
          <w:color w:val="000000"/>
          <w:kern w:val="0"/>
          <w:sz w:val="27"/>
          <w:szCs w:val="27"/>
          <w:u w:val="none" w:color="auto"/>
        </w:rPr>
        <w:t>运行</w:t>
      </w:r>
      <w:r>
        <w:rPr>
          <w:rFonts w:hint="eastAsia" w:ascii="仿宋" w:hAnsi="仿宋" w:eastAsia="仿宋" w:cs="仿宋"/>
          <w:kern w:val="0"/>
          <w:sz w:val="30"/>
          <w:szCs w:val="30"/>
        </w:rPr>
        <w:t>维护费、其他交通费用、其他商品和服务支出、办公设备购置、专用设备购置、信息网络及软件购置更新、其他资本性支出等。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kern w:val="0"/>
          <w:sz w:val="27"/>
          <w:szCs w:val="27"/>
        </w:rPr>
        <w:t>   </w:t>
      </w:r>
      <w:r>
        <w:rPr>
          <w:rFonts w:hint="eastAsia" w:ascii="仿宋" w:hAnsi="仿宋" w:eastAsia="仿宋" w:cs="仿宋"/>
          <w:kern w:val="0"/>
          <w:sz w:val="30"/>
          <w:szCs w:val="30"/>
        </w:rPr>
        <w:t xml:space="preserve"> 化德县人民检察院 2024年度一般公共预算财政拨款项目支出决算 318.09万元，其中：</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b/>
          <w:bCs/>
          <w:color w:val="000000"/>
          <w:kern w:val="0"/>
          <w:sz w:val="27"/>
          <w:szCs w:val="27"/>
          <w:u w:val="none" w:color="auto"/>
        </w:rPr>
        <w:t>    （一）工资福利支出</w:t>
      </w:r>
      <w:r>
        <w:rPr>
          <w:rFonts w:eastAsia="Times New Roman"/>
          <w:color w:val="000000"/>
          <w:kern w:val="0"/>
          <w:sz w:val="27"/>
          <w:szCs w:val="27"/>
          <w:u w:val="none" w:color="auto"/>
        </w:rPr>
        <w:t xml:space="preserve"> </w:t>
      </w:r>
      <w:r>
        <w:rPr>
          <w:rFonts w:eastAsia="Times New Roman"/>
          <w:b/>
          <w:bCs/>
          <w:color w:val="000000"/>
          <w:kern w:val="0"/>
          <w:sz w:val="27"/>
          <w:szCs w:val="27"/>
          <w:u w:val="none" w:color="auto"/>
        </w:rPr>
        <w:t>0</w:t>
      </w:r>
      <w:r>
        <w:rPr>
          <w:rFonts w:ascii="仿宋_GB2312" w:hAnsi="仿宋_GB2312" w:eastAsia="仿宋_GB2312" w:cs="仿宋_GB2312"/>
          <w:color w:val="000000"/>
          <w:kern w:val="0"/>
          <w:sz w:val="27"/>
          <w:szCs w:val="27"/>
          <w:u w:val="none" w:color="auto"/>
        </w:rPr>
        <w:t>万元。</w:t>
      </w:r>
      <w:r>
        <w:rPr>
          <w:rFonts w:hint="eastAsia" w:ascii="仿宋" w:hAnsi="仿宋" w:eastAsia="仿宋" w:cs="仿宋"/>
          <w:kern w:val="0"/>
          <w:sz w:val="30"/>
          <w:szCs w:val="30"/>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b/>
          <w:bCs/>
          <w:color w:val="000000"/>
          <w:kern w:val="0"/>
          <w:sz w:val="27"/>
          <w:szCs w:val="27"/>
          <w:u w:val="none" w:color="auto"/>
        </w:rPr>
        <w:t>    （二）商品和服务支出</w:t>
      </w:r>
      <w:r>
        <w:rPr>
          <w:rFonts w:eastAsia="Times New Roman"/>
          <w:b/>
          <w:bCs/>
          <w:color w:val="000000"/>
          <w:kern w:val="0"/>
          <w:sz w:val="27"/>
          <w:szCs w:val="27"/>
          <w:u w:val="none" w:color="auto"/>
        </w:rPr>
        <w:t xml:space="preserve"> 131.13</w:t>
      </w:r>
      <w:r>
        <w:rPr>
          <w:rFonts w:ascii="仿宋_GB2312" w:hAnsi="仿宋_GB2312" w:eastAsia="仿宋_GB2312" w:cs="仿宋_GB2312"/>
          <w:color w:val="000000"/>
          <w:kern w:val="0"/>
          <w:sz w:val="27"/>
          <w:szCs w:val="27"/>
          <w:u w:val="none" w:color="auto"/>
        </w:rPr>
        <w:t>万元。</w:t>
      </w:r>
      <w:r>
        <w:rPr>
          <w:rFonts w:hint="eastAsia" w:ascii="仿宋" w:hAnsi="仿宋" w:eastAsia="仿宋" w:cs="仿宋"/>
          <w:kern w:val="0"/>
          <w:sz w:val="30"/>
          <w:szCs w:val="30"/>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b/>
          <w:bCs/>
          <w:color w:val="000000"/>
          <w:kern w:val="0"/>
          <w:sz w:val="27"/>
          <w:szCs w:val="27"/>
        </w:rPr>
        <w:t>   </w:t>
      </w:r>
      <w:r>
        <w:rPr>
          <w:rFonts w:hint="eastAsia" w:ascii="仿宋" w:hAnsi="仿宋" w:eastAsia="仿宋" w:cs="仿宋"/>
          <w:b/>
          <w:bCs/>
          <w:kern w:val="0"/>
          <w:sz w:val="30"/>
          <w:szCs w:val="30"/>
        </w:rPr>
        <w:t xml:space="preserve"> （三）资本性支出 186.96万元。</w:t>
      </w:r>
      <w:r>
        <w:rPr>
          <w:rFonts w:hint="eastAsia" w:ascii="仿宋" w:hAnsi="仿宋" w:eastAsia="仿宋" w:cs="仿宋"/>
          <w:kern w:val="0"/>
          <w:sz w:val="30"/>
          <w:szCs w:val="30"/>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kern w:val="0"/>
          <w:sz w:val="27"/>
          <w:szCs w:val="27"/>
        </w:rPr>
        <w:t xml:space="preserve">  </w:t>
      </w:r>
      <w:r>
        <w:rPr>
          <w:rFonts w:hint="eastAsia" w:ascii="仿宋" w:hAnsi="仿宋" w:eastAsia="仿宋" w:cs="仿宋"/>
          <w:kern w:val="0"/>
          <w:sz w:val="30"/>
          <w:szCs w:val="30"/>
        </w:rPr>
        <w:t>  化德县人民检察院 2024年度财政拨款“三公”经费全年预算 36.73万元，支出决算 36.73万元，完成预算的 100.00%。其中：因公出国（境）费全年预算 0万元，支出决算 0万元，完成预算的 0%；公务用车购置及运行维护费全年预算 30.85万元，支出决算 30.85万元，完成预算的 100.00%；公务接待费全年预算 5.88万元，支出决算 5.88万元，完成预算的 100.00%。2024年度一般公共预算财政拨款“三公”经费全年预算 36.73万元，支出决算 36.73万元，与预算差异原因</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无差异</w:t>
      </w:r>
      <w:r>
        <w:rPr>
          <w:rFonts w:hint="eastAsia" w:ascii="仿宋" w:hAnsi="仿宋" w:eastAsia="仿宋" w:cs="仿宋"/>
          <w:kern w:val="0"/>
          <w:sz w:val="30"/>
          <w:szCs w:val="30"/>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化</w:t>
      </w:r>
      <w:r>
        <w:rPr>
          <w:rFonts w:hint="eastAsia" w:ascii="仿宋" w:hAnsi="仿宋" w:eastAsia="仿宋" w:cs="仿宋"/>
          <w:kern w:val="0"/>
          <w:sz w:val="30"/>
          <w:szCs w:val="30"/>
        </w:rPr>
        <w:t>德县人民检察院 2024年度财政拨款“三公”经费支出 36.73万元。因公出国（境）费支出 0万元，占 0%；公务用车购置及运行维护费支出 30.85万元，占 84.00%；公务接待费支出 5.88万元，占 16.00%。其中：</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color w:val="000000"/>
          <w:kern w:val="0"/>
          <w:sz w:val="27"/>
          <w:szCs w:val="27"/>
        </w:rPr>
        <w:t xml:space="preserve">  </w:t>
      </w:r>
      <w:r>
        <w:rPr>
          <w:rFonts w:hint="eastAsia" w:ascii="仿宋" w:hAnsi="仿宋" w:eastAsia="仿宋" w:cs="仿宋"/>
          <w:kern w:val="0"/>
          <w:sz w:val="30"/>
          <w:szCs w:val="30"/>
        </w:rPr>
        <w:t>  1.因公出国（境）费支出 0万元，全年出国（境）团组0 个，累计0 人次。与上年决算相比，增加 0万元，增长 0%，变动原因：</w:t>
      </w:r>
      <w:r>
        <w:rPr>
          <w:rFonts w:hint="eastAsia" w:ascii="仿宋" w:hAnsi="仿宋" w:eastAsia="仿宋" w:cs="仿宋"/>
          <w:kern w:val="0"/>
          <w:sz w:val="30"/>
          <w:szCs w:val="30"/>
          <w:lang w:val="en-US" w:eastAsia="zh-CN"/>
        </w:rPr>
        <w:t>无差异</w:t>
      </w:r>
      <w:r>
        <w:rPr>
          <w:rFonts w:hint="eastAsia" w:ascii="仿宋" w:hAnsi="仿宋" w:eastAsia="仿宋" w:cs="仿宋"/>
          <w:kern w:val="0"/>
          <w:sz w:val="30"/>
          <w:szCs w:val="30"/>
        </w:rPr>
        <w:t>。</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2.公务用车购置及运行维护费支出 30.85万元。其中：</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（1）公务用车购置支出 0万元。本年度使用财政拨款购置公务用车0 辆，开支内容：</w:t>
      </w:r>
      <w:r>
        <w:rPr>
          <w:rFonts w:hint="eastAsia" w:ascii="仿宋" w:hAnsi="仿宋" w:eastAsia="仿宋" w:cs="仿宋"/>
          <w:kern w:val="0"/>
          <w:sz w:val="30"/>
          <w:szCs w:val="30"/>
          <w:lang w:val="en-US" w:eastAsia="zh-CN"/>
        </w:rPr>
        <w:t>无</w:t>
      </w:r>
      <w:r>
        <w:rPr>
          <w:rFonts w:hint="eastAsia" w:ascii="仿宋" w:hAnsi="仿宋" w:eastAsia="仿宋" w:cs="仿宋"/>
          <w:kern w:val="0"/>
          <w:sz w:val="30"/>
          <w:szCs w:val="30"/>
        </w:rPr>
        <w:t>。与上年决算相比，减少27.22万元，下降100.00%，变动原因：</w:t>
      </w:r>
      <w:r>
        <w:rPr>
          <w:rFonts w:hint="eastAsia" w:ascii="仿宋" w:hAnsi="仿宋" w:eastAsia="仿宋" w:cs="仿宋"/>
          <w:kern w:val="0"/>
          <w:sz w:val="30"/>
          <w:szCs w:val="30"/>
          <w:lang w:val="en-US" w:eastAsia="zh-CN"/>
        </w:rPr>
        <w:t>因2023年有公务用车购置，2024年为申请够买公务用车</w:t>
      </w:r>
      <w:r>
        <w:rPr>
          <w:rFonts w:hint="eastAsia" w:ascii="仿宋" w:hAnsi="仿宋" w:eastAsia="仿宋" w:cs="仿宋"/>
          <w:kern w:val="0"/>
          <w:sz w:val="30"/>
          <w:szCs w:val="30"/>
        </w:rPr>
        <w:t>。</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（2）公务用车运行维护费支出 30.85万元。公务用车运行维护费主要用于按规定保留的公务用车的燃料费、维修费、过桥过路费、保险费、安全奖励费用等支出。截至2024年12月31日，使用财政拨款开支的公务用车保有量为6 辆。与上年决算相比，减少0.15万元，下降0.47%，变动原因：</w:t>
      </w:r>
      <w:r>
        <w:rPr>
          <w:rFonts w:hint="eastAsia" w:ascii="仿宋" w:hAnsi="仿宋" w:eastAsia="仿宋" w:cs="仿宋"/>
          <w:kern w:val="0"/>
          <w:sz w:val="30"/>
          <w:szCs w:val="30"/>
          <w:lang w:val="en-US" w:eastAsia="zh-CN"/>
        </w:rPr>
        <w:t>因以实际业务发生为准，</w:t>
      </w:r>
      <w:r>
        <w:rPr>
          <w:rFonts w:hint="eastAsia" w:ascii="仿宋" w:hAnsi="仿宋" w:eastAsia="仿宋" w:cs="仿宋"/>
          <w:kern w:val="0"/>
          <w:sz w:val="30"/>
          <w:szCs w:val="30"/>
        </w:rPr>
        <w:t>公务用车运行维护费</w:t>
      </w:r>
      <w:r>
        <w:rPr>
          <w:rFonts w:hint="eastAsia" w:ascii="仿宋" w:hAnsi="仿宋" w:eastAsia="仿宋" w:cs="仿宋"/>
          <w:kern w:val="0"/>
          <w:sz w:val="30"/>
          <w:szCs w:val="30"/>
          <w:lang w:val="en-US" w:eastAsia="zh-CN"/>
        </w:rPr>
        <w:t>相应减少</w:t>
      </w:r>
      <w:r>
        <w:rPr>
          <w:rFonts w:hint="eastAsia" w:ascii="仿宋" w:hAnsi="仿宋" w:eastAsia="仿宋" w:cs="仿宋"/>
          <w:kern w:val="0"/>
          <w:sz w:val="30"/>
          <w:szCs w:val="30"/>
        </w:rPr>
        <w:t>。</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3.公务接待费支出 5.88万元。其中：国内公务接待支出 5.88万元，接待79 批次，745 人次，开支内容：</w:t>
      </w:r>
      <w:r>
        <w:rPr>
          <w:rFonts w:hint="eastAsia" w:ascii="仿宋" w:hAnsi="仿宋" w:eastAsia="仿宋" w:cs="仿宋"/>
          <w:kern w:val="0"/>
          <w:sz w:val="30"/>
          <w:szCs w:val="30"/>
          <w:lang w:val="en-US" w:eastAsia="zh-CN"/>
        </w:rPr>
        <w:t>按照相关规定接待调研考察等工作人员</w:t>
      </w:r>
      <w:r>
        <w:rPr>
          <w:rFonts w:hint="eastAsia" w:ascii="仿宋" w:hAnsi="仿宋" w:eastAsia="仿宋" w:cs="仿宋"/>
          <w:kern w:val="0"/>
          <w:sz w:val="30"/>
          <w:szCs w:val="30"/>
        </w:rPr>
        <w:t>；国（境）外公务接待支出 0万元，接待0 批次，0 人次，开支内容：</w:t>
      </w:r>
      <w:r>
        <w:rPr>
          <w:rFonts w:hint="eastAsia" w:ascii="仿宋" w:hAnsi="仿宋" w:eastAsia="仿宋" w:cs="仿宋"/>
          <w:kern w:val="0"/>
          <w:sz w:val="30"/>
          <w:szCs w:val="30"/>
          <w:lang w:val="en-US" w:eastAsia="zh-CN"/>
        </w:rPr>
        <w:t>无</w:t>
      </w:r>
      <w:r>
        <w:rPr>
          <w:rFonts w:hint="eastAsia" w:ascii="仿宋" w:hAnsi="仿宋" w:eastAsia="仿宋" w:cs="仿宋"/>
          <w:kern w:val="0"/>
          <w:sz w:val="30"/>
          <w:szCs w:val="30"/>
        </w:rPr>
        <w:t>。与上年决算相比，增减少0.12万元，下降2.02%，变动原因：</w:t>
      </w:r>
      <w:r>
        <w:rPr>
          <w:rFonts w:hint="eastAsia" w:ascii="仿宋" w:hAnsi="仿宋" w:eastAsia="仿宋" w:cs="仿宋"/>
          <w:kern w:val="0"/>
          <w:sz w:val="30"/>
          <w:szCs w:val="30"/>
          <w:lang w:val="en-US" w:eastAsia="zh-CN"/>
        </w:rPr>
        <w:t>因以实际业务发生为准，</w:t>
      </w:r>
      <w:r>
        <w:rPr>
          <w:rFonts w:hint="eastAsia" w:ascii="仿宋" w:hAnsi="仿宋" w:eastAsia="仿宋" w:cs="仿宋"/>
          <w:kern w:val="0"/>
          <w:sz w:val="30"/>
          <w:szCs w:val="30"/>
        </w:rPr>
        <w:t>公务用车运行维护费</w:t>
      </w:r>
      <w:r>
        <w:rPr>
          <w:rFonts w:hint="eastAsia" w:ascii="仿宋" w:hAnsi="仿宋" w:eastAsia="仿宋" w:cs="仿宋"/>
          <w:kern w:val="0"/>
          <w:sz w:val="30"/>
          <w:szCs w:val="30"/>
          <w:lang w:val="en-US" w:eastAsia="zh-CN"/>
        </w:rPr>
        <w:t>相应减少</w:t>
      </w:r>
      <w:r>
        <w:rPr>
          <w:rFonts w:hint="eastAsia" w:ascii="仿宋" w:hAnsi="仿宋" w:eastAsia="仿宋" w:cs="仿宋"/>
          <w:kern w:val="0"/>
          <w:sz w:val="30"/>
          <w:szCs w:val="30"/>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w:t>
      </w:r>
      <w:r>
        <w:rPr>
          <w:rFonts w:hint="eastAsia" w:ascii="仿宋" w:hAnsi="仿宋" w:eastAsia="仿宋" w:cs="仿宋"/>
          <w:kern w:val="0"/>
          <w:sz w:val="30"/>
          <w:szCs w:val="30"/>
        </w:rPr>
        <w:t xml:space="preserve"> 化德县人民检察院 2024年度政府性基金预算财政拨款支出决算 0万元。与上年决算相比，增加 0万元，增长 0%，变动原因：本年无政府性基金预算财政拨款收、支、余。</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kern w:val="0"/>
          <w:sz w:val="27"/>
          <w:szCs w:val="27"/>
        </w:rPr>
        <w:t xml:space="preserve">    </w:t>
      </w:r>
      <w:r>
        <w:rPr>
          <w:rFonts w:hint="eastAsia" w:ascii="仿宋" w:hAnsi="仿宋" w:eastAsia="仿宋" w:cs="仿宋"/>
          <w:kern w:val="0"/>
          <w:sz w:val="30"/>
          <w:szCs w:val="30"/>
        </w:rPr>
        <w:t>化德县人民检察院 2024年度国有资本经营预算财政拨款支出决算 0万元。与上年决算相比，增加 0万元，增长 0%，变动原因：本年无国有资本经营预算财政拨款收、支、余。</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pPr>
        <w:keepNext w:val="0"/>
        <w:keepLines w:val="0"/>
        <w:pageBreakBefore w:val="0"/>
        <w:widowControl/>
        <w:kinsoku/>
        <w:wordWrap/>
        <w:overflowPunct/>
        <w:autoSpaceDE/>
        <w:autoSpaceDN/>
        <w:bidi w:val="0"/>
        <w:adjustRightInd/>
        <w:snapToGrid/>
        <w:spacing w:before="240" w:after="240" w:line="240" w:lineRule="auto"/>
        <w:textAlignment w:val="auto"/>
        <w:rPr>
          <w:rFonts w:hint="eastAsia" w:ascii="仿宋" w:hAnsi="仿宋" w:eastAsia="仿宋" w:cs="仿宋"/>
          <w:kern w:val="0"/>
          <w:sz w:val="30"/>
          <w:szCs w:val="30"/>
        </w:rPr>
      </w:pPr>
      <w:r>
        <w:rPr>
          <w:rFonts w:ascii="仿宋_GB2312" w:hAnsi="仿宋_GB2312" w:eastAsia="仿宋_GB2312" w:cs="仿宋_GB2312"/>
          <w:kern w:val="0"/>
          <w:sz w:val="27"/>
          <w:szCs w:val="27"/>
        </w:rPr>
        <w:t>   </w:t>
      </w:r>
      <w:r>
        <w:rPr>
          <w:rFonts w:hint="eastAsia" w:ascii="仿宋" w:hAnsi="仿宋" w:eastAsia="仿宋" w:cs="仿宋"/>
          <w:kern w:val="0"/>
          <w:sz w:val="30"/>
          <w:szCs w:val="30"/>
        </w:rPr>
        <w:t xml:space="preserve"> 化德县人民检察院 2024年度公用经费支出决算 77.85万元，与上年决算相比，减少3.15万元，下降3.89%，变动原因：</w:t>
      </w:r>
      <w:r>
        <w:rPr>
          <w:rFonts w:hint="eastAsia" w:ascii="仿宋" w:hAnsi="仿宋" w:eastAsia="仿宋" w:cs="仿宋"/>
          <w:kern w:val="0"/>
          <w:sz w:val="30"/>
          <w:szCs w:val="30"/>
          <w:lang w:val="en-US" w:eastAsia="zh-CN"/>
        </w:rPr>
        <w:t>因2024年</w:t>
      </w:r>
      <w:r>
        <w:rPr>
          <w:rFonts w:hint="eastAsia" w:ascii="仿宋" w:hAnsi="仿宋" w:eastAsia="仿宋" w:cs="仿宋"/>
          <w:kern w:val="0"/>
          <w:sz w:val="30"/>
          <w:szCs w:val="30"/>
        </w:rPr>
        <w:t>机构运行经费</w:t>
      </w:r>
      <w:r>
        <w:rPr>
          <w:rFonts w:hint="eastAsia" w:ascii="仿宋" w:hAnsi="仿宋" w:eastAsia="仿宋" w:cs="仿宋"/>
          <w:kern w:val="0"/>
          <w:sz w:val="30"/>
          <w:szCs w:val="30"/>
          <w:lang w:val="en-US" w:eastAsia="zh-CN"/>
        </w:rPr>
        <w:t>预算同比增加，所以</w:t>
      </w:r>
      <w:r>
        <w:rPr>
          <w:rFonts w:hint="eastAsia" w:ascii="仿宋" w:hAnsi="仿宋" w:eastAsia="仿宋" w:cs="仿宋"/>
          <w:kern w:val="0"/>
          <w:sz w:val="30"/>
          <w:szCs w:val="30"/>
        </w:rPr>
        <w:t>支出决算</w:t>
      </w:r>
      <w:r>
        <w:rPr>
          <w:rFonts w:hint="eastAsia" w:ascii="仿宋" w:hAnsi="仿宋" w:eastAsia="仿宋" w:cs="仿宋"/>
          <w:kern w:val="0"/>
          <w:sz w:val="30"/>
          <w:szCs w:val="30"/>
          <w:lang w:val="en-US" w:eastAsia="zh-CN"/>
        </w:rPr>
        <w:t>相应增加</w:t>
      </w:r>
      <w:r>
        <w:rPr>
          <w:rFonts w:hint="eastAsia" w:ascii="仿宋" w:hAnsi="仿宋" w:eastAsia="仿宋" w:cs="仿宋"/>
          <w:kern w:val="0"/>
          <w:sz w:val="30"/>
          <w:szCs w:val="30"/>
        </w:rPr>
        <w:t>。其中，机关运行经费支出决算 77.85万元。比上年决算相比，减少.15万元，下降3.89%，变动原因：</w:t>
      </w:r>
      <w:r>
        <w:rPr>
          <w:rFonts w:hint="eastAsia" w:ascii="仿宋" w:hAnsi="仿宋" w:eastAsia="仿宋" w:cs="仿宋"/>
          <w:kern w:val="0"/>
          <w:sz w:val="30"/>
          <w:szCs w:val="30"/>
          <w:lang w:val="en-US" w:eastAsia="zh-CN"/>
        </w:rPr>
        <w:t>因2024年</w:t>
      </w:r>
      <w:r>
        <w:rPr>
          <w:rFonts w:hint="eastAsia" w:ascii="仿宋" w:hAnsi="仿宋" w:eastAsia="仿宋" w:cs="仿宋"/>
          <w:kern w:val="0"/>
          <w:sz w:val="30"/>
          <w:szCs w:val="30"/>
        </w:rPr>
        <w:t>机构运行经费</w:t>
      </w:r>
      <w:r>
        <w:rPr>
          <w:rFonts w:hint="eastAsia" w:ascii="仿宋" w:hAnsi="仿宋" w:eastAsia="仿宋" w:cs="仿宋"/>
          <w:kern w:val="0"/>
          <w:sz w:val="30"/>
          <w:szCs w:val="30"/>
          <w:lang w:val="en-US" w:eastAsia="zh-CN"/>
        </w:rPr>
        <w:t>预算同比增加，所以</w:t>
      </w:r>
      <w:r>
        <w:rPr>
          <w:rFonts w:hint="eastAsia" w:ascii="仿宋" w:hAnsi="仿宋" w:eastAsia="仿宋" w:cs="仿宋"/>
          <w:kern w:val="0"/>
          <w:sz w:val="30"/>
          <w:szCs w:val="30"/>
        </w:rPr>
        <w:t>支出决算</w:t>
      </w:r>
      <w:r>
        <w:rPr>
          <w:rFonts w:hint="eastAsia" w:ascii="仿宋" w:hAnsi="仿宋" w:eastAsia="仿宋" w:cs="仿宋"/>
          <w:kern w:val="0"/>
          <w:sz w:val="30"/>
          <w:szCs w:val="30"/>
          <w:lang w:val="en-US" w:eastAsia="zh-CN"/>
        </w:rPr>
        <w:t>相应增加</w:t>
      </w:r>
      <w:r>
        <w:rPr>
          <w:rFonts w:hint="eastAsia" w:ascii="仿宋" w:hAnsi="仿宋" w:eastAsia="仿宋" w:cs="仿宋"/>
          <w:kern w:val="0"/>
          <w:sz w:val="30"/>
          <w:szCs w:val="30"/>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kern w:val="0"/>
          <w:sz w:val="27"/>
          <w:szCs w:val="27"/>
        </w:rPr>
        <w:t>   </w:t>
      </w:r>
      <w:r>
        <w:rPr>
          <w:rFonts w:hint="eastAsia" w:ascii="仿宋" w:hAnsi="仿宋" w:eastAsia="仿宋" w:cs="仿宋"/>
          <w:kern w:val="0"/>
          <w:sz w:val="30"/>
          <w:szCs w:val="30"/>
        </w:rPr>
        <w:t xml:space="preserve"> 化德县人民检察院 2024年度政府采购支出总额 60.26万元，其中：政府采购货物支出 28.56万元、政府采购工程支出 0万元、政府采购服务支出 31.70万元。政府采购授予中小企业合同金额 46.18万元，占政府采购支出总额的</w:t>
      </w:r>
      <w:r>
        <w:rPr>
          <w:rFonts w:hint="eastAsia" w:ascii="仿宋" w:hAnsi="仿宋" w:eastAsia="仿宋" w:cs="仿宋"/>
          <w:kern w:val="0"/>
          <w:sz w:val="30"/>
          <w:szCs w:val="30"/>
          <w:lang w:val="en-US" w:eastAsia="zh-CN"/>
        </w:rPr>
        <w:t>76.63</w:t>
      </w:r>
      <w:r>
        <w:rPr>
          <w:rFonts w:hint="eastAsia" w:ascii="仿宋" w:hAnsi="仿宋" w:eastAsia="仿宋" w:cs="仿宋"/>
          <w:kern w:val="0"/>
          <w:sz w:val="30"/>
          <w:szCs w:val="30"/>
        </w:rPr>
        <w:t>%，其中：授予小微企业合同金额  46.18万元，占政府采购支出总额的</w:t>
      </w:r>
      <w:r>
        <w:rPr>
          <w:rFonts w:hint="eastAsia" w:ascii="仿宋" w:hAnsi="仿宋" w:eastAsia="仿宋" w:cs="仿宋"/>
          <w:kern w:val="0"/>
          <w:sz w:val="30"/>
          <w:szCs w:val="30"/>
          <w:lang w:val="en-US" w:eastAsia="zh-CN"/>
        </w:rPr>
        <w:t>76.63</w:t>
      </w:r>
      <w:r>
        <w:rPr>
          <w:rFonts w:hint="eastAsia" w:ascii="仿宋" w:hAnsi="仿宋" w:eastAsia="仿宋" w:cs="仿宋"/>
          <w:kern w:val="0"/>
          <w:sz w:val="30"/>
          <w:szCs w:val="30"/>
        </w:rPr>
        <w:t>%；货物采购授予中小企业合同金额占货物支出金额的</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%，工程采购授予中小企业合同金额占工程支出金额的</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%，服务采购授予中小企业合同金额占服务支出金额的</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hint="eastAsia" w:ascii="仿宋" w:hAnsi="仿宋" w:eastAsia="仿宋" w:cs="仿宋"/>
          <w:kern w:val="0"/>
          <w:sz w:val="30"/>
          <w:szCs w:val="30"/>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u w:val="none" w:color="auto"/>
        </w:rPr>
        <w:t xml:space="preserve"> </w:t>
      </w:r>
      <w:r>
        <w:rPr>
          <w:rFonts w:hint="eastAsia" w:ascii="仿宋" w:hAnsi="仿宋" w:eastAsia="仿宋" w:cs="仿宋"/>
          <w:kern w:val="0"/>
          <w:sz w:val="30"/>
          <w:szCs w:val="30"/>
        </w:rPr>
        <w:t>化德县人民检察院 截至2024年12月31日，本部门（单位）共有车辆 6辆，其中：副部（省）级及以上领导用车0 辆、主要负责人用车 0辆、机要通信用车 0辆、应急保障用车 0辆、执法执勤用车 6辆、特种专业技术用车 0辆、离退休干部服务用车 0辆，其他用车 0辆；单价100万元（含）以上的设备（不含车辆） 0台（套）。</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化德县人民检察院 根据预算绩效管理要求组织对2024年一般公共预算项目支出全面开展绩效自评，其中一级项目</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个，二级项目</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个，共涉及资金</w:t>
      </w:r>
      <w:r>
        <w:rPr>
          <w:rFonts w:hint="eastAsia" w:ascii="仿宋" w:hAnsi="仿宋" w:eastAsia="仿宋" w:cs="仿宋"/>
          <w:kern w:val="0"/>
          <w:sz w:val="30"/>
          <w:szCs w:val="30"/>
          <w:lang w:val="en-US" w:eastAsia="zh-CN"/>
        </w:rPr>
        <w:t>320.26</w:t>
      </w:r>
      <w:r>
        <w:rPr>
          <w:rFonts w:hint="eastAsia" w:ascii="仿宋" w:hAnsi="仿宋" w:eastAsia="仿宋" w:cs="仿宋"/>
          <w:kern w:val="0"/>
          <w:sz w:val="30"/>
          <w:szCs w:val="30"/>
        </w:rPr>
        <w:t>万元，占一般公共预算项目支出总额的100%；政府性基金预算项目</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个，其中，一级项目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个，二级项目</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个，共涉及资金</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万元，占应纳入绩效自评的政府性基金预算项目支出总额的100%；</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xml:space="preserve">      组织对0个项目开展了部门评价（此处即为重点评价内容），涉及一般公共预算支出0万元。政府性基金支出0万元。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pPr>
        <w:widowControl/>
        <w:spacing w:before="240" w:after="24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化德县人民检察院 2024年度在决算中反映2个一般公共预算项目，以及0个政府性基金项目， 共2个项目的绩效自评结果。</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202</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年办案（业务）经费项目自评综述：根据年初设定的绩效目标，项目自评得分</w:t>
      </w:r>
      <w:r>
        <w:rPr>
          <w:rFonts w:hint="eastAsia" w:ascii="仿宋" w:hAnsi="仿宋" w:eastAsia="仿宋" w:cs="仿宋"/>
          <w:kern w:val="0"/>
          <w:sz w:val="30"/>
          <w:szCs w:val="30"/>
          <w:lang w:val="en-US" w:eastAsia="zh-CN"/>
        </w:rPr>
        <w:t>94.87</w:t>
      </w:r>
      <w:r>
        <w:rPr>
          <w:rFonts w:hint="eastAsia" w:ascii="仿宋" w:hAnsi="仿宋" w:eastAsia="仿宋" w:cs="仿宋"/>
          <w:kern w:val="0"/>
          <w:sz w:val="30"/>
          <w:szCs w:val="30"/>
        </w:rPr>
        <w:t>分。全年预算数</w:t>
      </w:r>
      <w:r>
        <w:rPr>
          <w:rFonts w:hint="eastAsia" w:ascii="仿宋" w:hAnsi="仿宋" w:eastAsia="仿宋" w:cs="仿宋"/>
          <w:kern w:val="0"/>
          <w:sz w:val="30"/>
          <w:szCs w:val="30"/>
          <w:lang w:val="en-US" w:eastAsia="zh-CN"/>
        </w:rPr>
        <w:t>156.79</w:t>
      </w:r>
      <w:r>
        <w:rPr>
          <w:rFonts w:hint="eastAsia" w:ascii="仿宋" w:hAnsi="仿宋" w:eastAsia="仿宋" w:cs="仿宋"/>
          <w:kern w:val="0"/>
          <w:sz w:val="30"/>
          <w:szCs w:val="30"/>
        </w:rPr>
        <w:t>万元，</w:t>
      </w:r>
      <w:r>
        <w:rPr>
          <w:rFonts w:hint="default" w:ascii="仿宋" w:hAnsi="仿宋" w:eastAsia="仿宋" w:cs="仿宋"/>
          <w:kern w:val="0"/>
          <w:sz w:val="30"/>
          <w:szCs w:val="30"/>
          <w:lang w:val="en-US" w:eastAsia="zh-CN"/>
        </w:rPr>
        <w:t>本</w:t>
      </w:r>
      <w:r>
        <w:rPr>
          <w:rFonts w:hint="eastAsia" w:ascii="仿宋" w:hAnsi="仿宋" w:eastAsia="仿宋" w:cs="仿宋"/>
          <w:kern w:val="0"/>
          <w:sz w:val="30"/>
          <w:szCs w:val="30"/>
          <w:lang w:val="en-US" w:eastAsia="zh-CN"/>
        </w:rPr>
        <w:t>项目</w:t>
      </w:r>
      <w:r>
        <w:rPr>
          <w:rFonts w:hint="default" w:ascii="仿宋" w:hAnsi="仿宋" w:eastAsia="仿宋" w:cs="仿宋"/>
          <w:kern w:val="0"/>
          <w:sz w:val="30"/>
          <w:szCs w:val="30"/>
          <w:lang w:val="en-US" w:eastAsia="zh-CN"/>
        </w:rPr>
        <w:t>资金</w:t>
      </w:r>
      <w:r>
        <w:rPr>
          <w:rFonts w:hint="eastAsia" w:ascii="仿宋" w:hAnsi="仿宋" w:eastAsia="仿宋" w:cs="仿宋"/>
          <w:kern w:val="0"/>
          <w:sz w:val="30"/>
          <w:szCs w:val="30"/>
          <w:lang w:val="en-US" w:eastAsia="zh-CN"/>
        </w:rPr>
        <w:t>变动后预算数132.79</w:t>
      </w:r>
      <w:r>
        <w:rPr>
          <w:rFonts w:hint="default" w:ascii="仿宋" w:hAnsi="仿宋" w:eastAsia="仿宋" w:cs="仿宋"/>
          <w:kern w:val="0"/>
          <w:sz w:val="30"/>
          <w:szCs w:val="30"/>
          <w:lang w:val="en-US" w:eastAsia="zh-CN"/>
        </w:rPr>
        <w:t>万元</w:t>
      </w:r>
      <w:r>
        <w:rPr>
          <w:rFonts w:hint="eastAsia" w:ascii="仿宋" w:hAnsi="仿宋" w:eastAsia="仿宋" w:cs="仿宋"/>
          <w:kern w:val="0"/>
          <w:sz w:val="30"/>
          <w:szCs w:val="30"/>
        </w:rPr>
        <w:t>执行数为</w:t>
      </w:r>
      <w:r>
        <w:rPr>
          <w:rFonts w:hint="eastAsia" w:ascii="仿宋" w:hAnsi="仿宋" w:eastAsia="仿宋" w:cs="仿宋"/>
          <w:kern w:val="0"/>
          <w:sz w:val="30"/>
          <w:szCs w:val="30"/>
          <w:lang w:val="en-US" w:eastAsia="zh-CN"/>
        </w:rPr>
        <w:t>131.13</w:t>
      </w:r>
      <w:r>
        <w:rPr>
          <w:rFonts w:hint="eastAsia" w:ascii="仿宋" w:hAnsi="仿宋" w:eastAsia="仿宋" w:cs="仿宋"/>
          <w:kern w:val="0"/>
          <w:sz w:val="30"/>
          <w:szCs w:val="30"/>
        </w:rPr>
        <w:t>万元，完成预算的</w:t>
      </w:r>
      <w:r>
        <w:rPr>
          <w:rFonts w:hint="eastAsia" w:ascii="仿宋" w:hAnsi="仿宋" w:eastAsia="仿宋" w:cs="仿宋"/>
          <w:kern w:val="0"/>
          <w:sz w:val="30"/>
          <w:szCs w:val="30"/>
          <w:lang w:val="en-US" w:eastAsia="zh-CN"/>
        </w:rPr>
        <w:t>98.75</w:t>
      </w:r>
      <w:r>
        <w:rPr>
          <w:rFonts w:hint="eastAsia" w:ascii="仿宋" w:hAnsi="仿宋" w:eastAsia="仿宋" w:cs="仿宋"/>
          <w:kern w:val="0"/>
          <w:sz w:val="30"/>
          <w:szCs w:val="30"/>
        </w:rPr>
        <w:t>%。项目绩效目标完成情况：办案（业务）费项目预算资金</w:t>
      </w:r>
      <w:r>
        <w:rPr>
          <w:rFonts w:hint="eastAsia" w:ascii="仿宋" w:hAnsi="仿宋" w:eastAsia="仿宋" w:cs="仿宋"/>
          <w:kern w:val="0"/>
          <w:sz w:val="30"/>
          <w:szCs w:val="30"/>
          <w:lang w:val="en-US" w:eastAsia="zh-CN"/>
        </w:rPr>
        <w:t>132.79</w:t>
      </w:r>
      <w:r>
        <w:rPr>
          <w:rFonts w:hint="eastAsia" w:ascii="仿宋" w:hAnsi="仿宋" w:eastAsia="仿宋" w:cs="仿宋"/>
          <w:kern w:val="0"/>
          <w:sz w:val="30"/>
          <w:szCs w:val="30"/>
        </w:rPr>
        <w:t>万元，202</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年全年支出</w:t>
      </w:r>
      <w:r>
        <w:rPr>
          <w:rFonts w:hint="eastAsia" w:ascii="仿宋" w:hAnsi="仿宋" w:eastAsia="仿宋" w:cs="仿宋"/>
          <w:kern w:val="0"/>
          <w:sz w:val="30"/>
          <w:szCs w:val="30"/>
          <w:lang w:val="en-US" w:eastAsia="zh-CN"/>
        </w:rPr>
        <w:t>131.13</w:t>
      </w:r>
      <w:r>
        <w:rPr>
          <w:rFonts w:hint="eastAsia" w:ascii="仿宋" w:hAnsi="仿宋" w:eastAsia="仿宋" w:cs="仿宋"/>
          <w:kern w:val="0"/>
          <w:sz w:val="30"/>
          <w:szCs w:val="30"/>
        </w:rPr>
        <w:t>万元，支付率</w:t>
      </w:r>
      <w:r>
        <w:rPr>
          <w:rFonts w:hint="eastAsia" w:ascii="仿宋" w:hAnsi="仿宋" w:eastAsia="仿宋" w:cs="仿宋"/>
          <w:kern w:val="0"/>
          <w:sz w:val="30"/>
          <w:szCs w:val="30"/>
          <w:lang w:val="en-US" w:eastAsia="zh-CN"/>
        </w:rPr>
        <w:t>98.75</w:t>
      </w:r>
      <w:r>
        <w:rPr>
          <w:rFonts w:hint="eastAsia" w:ascii="仿宋" w:hAnsi="仿宋" w:eastAsia="仿宋" w:cs="仿宋"/>
          <w:kern w:val="0"/>
          <w:sz w:val="30"/>
          <w:szCs w:val="30"/>
        </w:rPr>
        <w:t>%。该项目经费202</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年保障了检察工作正常开展，提供业务工作所需，保障干警出差办案、日常提高案件受理率及办案时效，进一步提高干警满意度，保证业务经费合理分配有效运用。很好的完成了本年度设置的各项指标值,提高干警满意度。发现的主要问题及原因：</w:t>
      </w:r>
      <w:r>
        <w:rPr>
          <w:rFonts w:hint="eastAsia" w:ascii="仿宋" w:hAnsi="仿宋" w:eastAsia="仿宋" w:cs="仿宋"/>
          <w:kern w:val="0"/>
          <w:sz w:val="30"/>
          <w:szCs w:val="30"/>
          <w:lang w:val="en-US" w:eastAsia="zh-CN"/>
        </w:rPr>
        <w:t>项目立项、实施存在问题。</w:t>
      </w:r>
      <w:r>
        <w:rPr>
          <w:rFonts w:hint="eastAsia" w:ascii="仿宋" w:hAnsi="仿宋" w:eastAsia="仿宋" w:cs="仿宋"/>
          <w:kern w:val="0"/>
          <w:sz w:val="30"/>
          <w:szCs w:val="30"/>
        </w:rPr>
        <w:t>项目设立的绩效目标应当增加各业务部门的参与度，促使目标设置更加合理可实现。下一步改进措施：（下年度预算编制时需增加各业务部门的参与度，根据各部门下年度实际支出需求进行细化，按照实际需求进行资金的合理分配。</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br w:type="page"/>
      </w:r>
    </w:p>
    <w:tbl>
      <w:tblPr>
        <w:tblStyle w:val="20"/>
        <w:tblW w:w="11242" w:type="dxa"/>
        <w:tblInd w:w="-6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645"/>
        <w:gridCol w:w="1000"/>
        <w:gridCol w:w="984"/>
        <w:gridCol w:w="1452"/>
        <w:gridCol w:w="677"/>
        <w:gridCol w:w="984"/>
        <w:gridCol w:w="555"/>
        <w:gridCol w:w="219"/>
        <w:gridCol w:w="469"/>
        <w:gridCol w:w="289"/>
        <w:gridCol w:w="984"/>
        <w:gridCol w:w="452"/>
        <w:gridCol w:w="540"/>
        <w:gridCol w:w="1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1242" w:type="dxa"/>
            <w:gridSpan w:val="1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242" w:type="dxa"/>
            <w:gridSpan w:val="1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27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项目名称</w:t>
            </w:r>
          </w:p>
        </w:tc>
        <w:tc>
          <w:tcPr>
            <w:tcW w:w="9968" w:type="dxa"/>
            <w:gridSpan w:val="1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办案（业务）经费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主管部门</w:t>
            </w:r>
          </w:p>
        </w:tc>
        <w:tc>
          <w:tcPr>
            <w:tcW w:w="5097" w:type="dxa"/>
            <w:gridSpan w:val="5"/>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化德县人民检察院部门</w:t>
            </w:r>
          </w:p>
        </w:tc>
        <w:tc>
          <w:tcPr>
            <w:tcW w:w="1243"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实施单位</w:t>
            </w:r>
          </w:p>
        </w:tc>
        <w:tc>
          <w:tcPr>
            <w:tcW w:w="3628" w:type="dxa"/>
            <w:gridSpan w:val="5"/>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化德县人民检察院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274"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项目资金</w:t>
            </w:r>
          </w:p>
        </w:tc>
        <w:tc>
          <w:tcPr>
            <w:tcW w:w="1984"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年初预算数</w:t>
            </w:r>
          </w:p>
        </w:tc>
        <w:tc>
          <w:tcPr>
            <w:tcW w:w="166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全年预算数</w:t>
            </w:r>
          </w:p>
        </w:tc>
        <w:tc>
          <w:tcPr>
            <w:tcW w:w="1243"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全年执行数</w:t>
            </w:r>
          </w:p>
        </w:tc>
        <w:tc>
          <w:tcPr>
            <w:tcW w:w="1273"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分值</w:t>
            </w:r>
          </w:p>
        </w:tc>
        <w:tc>
          <w:tcPr>
            <w:tcW w:w="992"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执行率（%）</w:t>
            </w:r>
          </w:p>
        </w:tc>
        <w:tc>
          <w:tcPr>
            <w:tcW w:w="13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1274"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1984"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年度资金总额</w:t>
            </w:r>
          </w:p>
        </w:tc>
        <w:tc>
          <w:tcPr>
            <w:tcW w:w="14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156.79</w:t>
            </w:r>
          </w:p>
        </w:tc>
        <w:tc>
          <w:tcPr>
            <w:tcW w:w="166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132.79</w:t>
            </w:r>
          </w:p>
        </w:tc>
        <w:tc>
          <w:tcPr>
            <w:tcW w:w="1243"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131.13</w:t>
            </w:r>
          </w:p>
        </w:tc>
        <w:tc>
          <w:tcPr>
            <w:tcW w:w="127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92"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98.75</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74" w:type="dxa"/>
            <w:gridSpan w:val="2"/>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4"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其中：财政拨款</w:t>
            </w:r>
          </w:p>
        </w:tc>
        <w:tc>
          <w:tcPr>
            <w:tcW w:w="14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156.79</w:t>
            </w:r>
          </w:p>
        </w:tc>
        <w:tc>
          <w:tcPr>
            <w:tcW w:w="166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132.79</w:t>
            </w:r>
          </w:p>
        </w:tc>
        <w:tc>
          <w:tcPr>
            <w:tcW w:w="1243"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131.13</w:t>
            </w:r>
          </w:p>
        </w:tc>
        <w:tc>
          <w:tcPr>
            <w:tcW w:w="1273"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992"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98.75</w:t>
            </w:r>
          </w:p>
        </w:tc>
        <w:tc>
          <w:tcPr>
            <w:tcW w:w="1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1274" w:type="dxa"/>
            <w:gridSpan w:val="2"/>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4"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上年结转资金</w:t>
            </w:r>
          </w:p>
        </w:tc>
        <w:tc>
          <w:tcPr>
            <w:tcW w:w="14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6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3"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3"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992"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74" w:type="dxa"/>
            <w:gridSpan w:val="2"/>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4"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其他资金</w:t>
            </w:r>
          </w:p>
        </w:tc>
        <w:tc>
          <w:tcPr>
            <w:tcW w:w="14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661"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43"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73"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992"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4"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年度总体目标</w:t>
            </w:r>
          </w:p>
        </w:tc>
        <w:tc>
          <w:tcPr>
            <w:tcW w:w="5652" w:type="dxa"/>
            <w:gridSpan w:val="6"/>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预期目标</w:t>
            </w:r>
          </w:p>
        </w:tc>
        <w:tc>
          <w:tcPr>
            <w:tcW w:w="4316" w:type="dxa"/>
            <w:gridSpan w:val="7"/>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274"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52" w:type="dxa"/>
            <w:gridSpan w:val="6"/>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依法对刑事案件审查批准逮捕、决定逮捕、提起公诉、依法对刑事诉讼、民事审判和行政诉讼实行监督，依法对执行机关执行刑罚的活动是否合法进行监督，为当地的经济、社会稳定良好的发展保驾护航。</w:t>
            </w:r>
          </w:p>
        </w:tc>
        <w:tc>
          <w:tcPr>
            <w:tcW w:w="4316" w:type="dxa"/>
            <w:gridSpan w:val="7"/>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保障了检察业务部门办案日常经费支出，确保办案部门所需的材料费、办公费、差旅费等各项费用支出。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绩效指标</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一级指标</w:t>
            </w:r>
          </w:p>
        </w:tc>
        <w:tc>
          <w:tcPr>
            <w:tcW w:w="10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二级指标</w:t>
            </w:r>
          </w:p>
        </w:tc>
        <w:tc>
          <w:tcPr>
            <w:tcW w:w="2436"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三级指标</w:t>
            </w:r>
          </w:p>
        </w:tc>
        <w:tc>
          <w:tcPr>
            <w:tcW w:w="67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指标性质</w:t>
            </w:r>
          </w:p>
        </w:tc>
        <w:tc>
          <w:tcPr>
            <w:tcW w:w="98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指标方向</w:t>
            </w:r>
          </w:p>
        </w:tc>
        <w:tc>
          <w:tcPr>
            <w:tcW w:w="774"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年度指标值</w:t>
            </w:r>
          </w:p>
        </w:tc>
        <w:tc>
          <w:tcPr>
            <w:tcW w:w="758"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实完成值</w:t>
            </w:r>
          </w:p>
        </w:tc>
        <w:tc>
          <w:tcPr>
            <w:tcW w:w="98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计量单位</w:t>
            </w:r>
          </w:p>
        </w:tc>
        <w:tc>
          <w:tcPr>
            <w:tcW w:w="45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分值</w:t>
            </w:r>
          </w:p>
        </w:tc>
        <w:tc>
          <w:tcPr>
            <w:tcW w:w="5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得分</w:t>
            </w:r>
          </w:p>
        </w:tc>
        <w:tc>
          <w:tcPr>
            <w:tcW w:w="13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29"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绩效指标</w:t>
            </w:r>
          </w:p>
        </w:tc>
        <w:tc>
          <w:tcPr>
            <w:tcW w:w="645"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000"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436"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全年办理案件数量</w:t>
            </w:r>
          </w:p>
        </w:tc>
        <w:tc>
          <w:tcPr>
            <w:tcW w:w="677"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w:t>
            </w:r>
          </w:p>
        </w:tc>
        <w:tc>
          <w:tcPr>
            <w:tcW w:w="984"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大于等于</w:t>
            </w:r>
          </w:p>
        </w:tc>
        <w:tc>
          <w:tcPr>
            <w:tcW w:w="774"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758"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w:t>
            </w:r>
          </w:p>
        </w:tc>
        <w:tc>
          <w:tcPr>
            <w:tcW w:w="984"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2"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4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63"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629" w:type="dxa"/>
            <w:vMerge w:val="continue"/>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审结案件数量</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大于等于</w:t>
            </w: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29" w:type="dxa"/>
            <w:vMerge w:val="continue"/>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印刷宣传册</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大于等于</w:t>
            </w: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册</w:t>
            </w: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29" w:type="dxa"/>
            <w:vMerge w:val="continue"/>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培训人次</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大于等于</w:t>
            </w: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29" w:type="dxa"/>
            <w:vMerge w:val="continue"/>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维修设备数量</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大于等于</w:t>
            </w: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台/套</w:t>
            </w: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29" w:type="dxa"/>
            <w:vMerge w:val="continue"/>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年度结案率</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大于等于</w:t>
            </w: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29" w:type="dxa"/>
            <w:vMerge w:val="continue"/>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vMerge w:val="continue"/>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培训合格率</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大于等于</w:t>
            </w: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29" w:type="dxa"/>
            <w:vMerge w:val="continue"/>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vMerge w:val="continue"/>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宣传册发放率</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大于等于</w:t>
            </w: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29" w:type="dxa"/>
            <w:vMerge w:val="continue"/>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差旅费报销及时率</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大于等于</w:t>
            </w: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29"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36"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设备设施故障修复响应时间</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小于等于</w:t>
            </w: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小时</w:t>
            </w: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629"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印刷成本</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小于等于</w:t>
            </w: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元/册</w:t>
            </w: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9" w:type="dxa"/>
            <w:vMerge w:val="continue"/>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continue"/>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vMerge w:val="continue"/>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办案平均成本</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小于等于</w:t>
            </w: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万元/件</w:t>
            </w: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629" w:type="dxa"/>
            <w:vMerge w:val="continue"/>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continue"/>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vMerge w:val="continue"/>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培训成本</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小于等于</w:t>
            </w: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元/人</w:t>
            </w: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29" w:type="dxa"/>
            <w:vMerge w:val="continue"/>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continue"/>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vMerge w:val="continue"/>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设备设施维修成本</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小于等于</w:t>
            </w: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万元/台</w:t>
            </w: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629" w:type="dxa"/>
            <w:vMerge w:val="continue"/>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000"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办案人员能力</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629" w:type="dxa"/>
            <w:vMerge w:val="continue"/>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continue"/>
            <w:tcBorders>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vMerge w:val="continue"/>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办案效率</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29" w:type="dxa"/>
            <w:vMerge w:val="continue"/>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vMerge w:val="continue"/>
            <w:tcBorders>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可持续影响指</w:t>
            </w: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加强社会主义法制建设</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长期</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长期</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29" w:type="dxa"/>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tc>
        <w:tc>
          <w:tcPr>
            <w:tcW w:w="100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w:t>
            </w:r>
          </w:p>
        </w:tc>
        <w:tc>
          <w:tcPr>
            <w:tcW w:w="2436"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办案人员满意度</w:t>
            </w:r>
          </w:p>
        </w:tc>
        <w:tc>
          <w:tcPr>
            <w:tcW w:w="67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大于等于</w:t>
            </w:r>
          </w:p>
        </w:tc>
        <w:tc>
          <w:tcPr>
            <w:tcW w:w="774"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75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98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4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6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87" w:type="dxa"/>
            <w:gridSpan w:val="1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总分</w:t>
            </w:r>
          </w:p>
        </w:tc>
        <w:tc>
          <w:tcPr>
            <w:tcW w:w="45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94.87</w:t>
            </w:r>
          </w:p>
        </w:tc>
        <w:tc>
          <w:tcPr>
            <w:tcW w:w="136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widowControl/>
        <w:spacing w:before="240" w:after="240"/>
        <w:rPr>
          <w:rFonts w:hint="eastAsia" w:ascii="仿宋" w:hAnsi="仿宋" w:eastAsia="仿宋" w:cs="仿宋"/>
          <w:kern w:val="0"/>
          <w:sz w:val="30"/>
          <w:szCs w:val="30"/>
        </w:rPr>
      </w:pPr>
    </w:p>
    <w:p>
      <w:pPr>
        <w:widowControl/>
        <w:spacing w:before="240" w:after="240"/>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 xml:space="preserve">     </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.202</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年办案（业务）经费项目绩效自评报告项目自评综述：根据年初设定的绩效目标，项目自评得分</w:t>
      </w:r>
      <w:r>
        <w:rPr>
          <w:rFonts w:hint="eastAsia" w:ascii="仿宋" w:hAnsi="仿宋" w:eastAsia="仿宋" w:cs="仿宋"/>
          <w:kern w:val="0"/>
          <w:sz w:val="30"/>
          <w:szCs w:val="30"/>
          <w:lang w:val="en-US" w:eastAsia="zh-CN"/>
        </w:rPr>
        <w:t>97.97</w:t>
      </w:r>
      <w:r>
        <w:rPr>
          <w:rFonts w:hint="eastAsia" w:ascii="仿宋" w:hAnsi="仿宋" w:eastAsia="仿宋" w:cs="仿宋"/>
          <w:kern w:val="0"/>
          <w:sz w:val="30"/>
          <w:szCs w:val="30"/>
        </w:rPr>
        <w:t>分。全年预算数为</w:t>
      </w:r>
      <w:r>
        <w:rPr>
          <w:rFonts w:hint="eastAsia" w:ascii="仿宋" w:hAnsi="仿宋" w:eastAsia="仿宋" w:cs="仿宋"/>
          <w:kern w:val="0"/>
          <w:sz w:val="30"/>
          <w:szCs w:val="30"/>
          <w:lang w:val="en-US" w:eastAsia="zh-CN"/>
        </w:rPr>
        <w:t>187.47</w:t>
      </w:r>
      <w:r>
        <w:rPr>
          <w:rFonts w:hint="eastAsia" w:ascii="仿宋" w:hAnsi="仿宋" w:eastAsia="仿宋" w:cs="仿宋"/>
          <w:kern w:val="0"/>
          <w:sz w:val="30"/>
          <w:szCs w:val="30"/>
        </w:rPr>
        <w:t>万元，执行数为</w:t>
      </w:r>
      <w:r>
        <w:rPr>
          <w:rFonts w:hint="eastAsia" w:ascii="仿宋" w:hAnsi="仿宋" w:eastAsia="仿宋" w:cs="仿宋"/>
          <w:kern w:val="0"/>
          <w:sz w:val="30"/>
          <w:szCs w:val="30"/>
          <w:lang w:val="en-US" w:eastAsia="zh-CN"/>
        </w:rPr>
        <w:t>186.96</w:t>
      </w:r>
      <w:r>
        <w:rPr>
          <w:rFonts w:hint="eastAsia" w:ascii="仿宋" w:hAnsi="仿宋" w:eastAsia="仿宋" w:cs="仿宋"/>
          <w:kern w:val="0"/>
          <w:sz w:val="30"/>
          <w:szCs w:val="30"/>
        </w:rPr>
        <w:t>万元，完成预算的</w:t>
      </w:r>
      <w:r>
        <w:rPr>
          <w:rFonts w:hint="eastAsia" w:ascii="仿宋" w:hAnsi="仿宋" w:eastAsia="仿宋" w:cs="仿宋"/>
          <w:kern w:val="0"/>
          <w:sz w:val="30"/>
          <w:szCs w:val="30"/>
          <w:lang w:val="en-US" w:eastAsia="zh-CN"/>
        </w:rPr>
        <w:t>99.73</w:t>
      </w:r>
      <w:r>
        <w:rPr>
          <w:rFonts w:hint="eastAsia" w:ascii="仿宋" w:hAnsi="仿宋" w:eastAsia="仿宋" w:cs="仿宋"/>
          <w:kern w:val="0"/>
          <w:sz w:val="30"/>
          <w:szCs w:val="30"/>
        </w:rPr>
        <w:t>%。项目绩效目标完成情况：业务装备经费项目预算资金有</w:t>
      </w:r>
      <w:r>
        <w:rPr>
          <w:rFonts w:hint="eastAsia" w:ascii="仿宋" w:hAnsi="仿宋" w:eastAsia="仿宋" w:cs="仿宋"/>
          <w:kern w:val="0"/>
          <w:sz w:val="30"/>
          <w:szCs w:val="30"/>
          <w:lang w:val="en-US" w:eastAsia="zh-CN"/>
        </w:rPr>
        <w:t>187.47</w:t>
      </w:r>
      <w:r>
        <w:rPr>
          <w:rFonts w:hint="eastAsia" w:ascii="仿宋" w:hAnsi="仿宋" w:eastAsia="仿宋" w:cs="仿宋"/>
          <w:kern w:val="0"/>
          <w:sz w:val="30"/>
          <w:szCs w:val="30"/>
        </w:rPr>
        <w:t>万元，202</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年全年支出有</w:t>
      </w:r>
      <w:r>
        <w:rPr>
          <w:rFonts w:hint="eastAsia" w:ascii="仿宋" w:hAnsi="仿宋" w:eastAsia="仿宋" w:cs="仿宋"/>
          <w:kern w:val="0"/>
          <w:sz w:val="30"/>
          <w:szCs w:val="30"/>
          <w:lang w:val="en-US" w:eastAsia="zh-CN"/>
        </w:rPr>
        <w:t>186.96</w:t>
      </w:r>
      <w:r>
        <w:rPr>
          <w:rFonts w:hint="eastAsia" w:ascii="仿宋" w:hAnsi="仿宋" w:eastAsia="仿宋" w:cs="仿宋"/>
          <w:kern w:val="0"/>
          <w:sz w:val="30"/>
          <w:szCs w:val="30"/>
        </w:rPr>
        <w:t>万元，支付率为</w:t>
      </w:r>
      <w:r>
        <w:rPr>
          <w:rFonts w:hint="eastAsia" w:ascii="仿宋" w:hAnsi="仿宋" w:eastAsia="仿宋" w:cs="仿宋"/>
          <w:kern w:val="0"/>
          <w:sz w:val="30"/>
          <w:szCs w:val="30"/>
          <w:lang w:val="en-US" w:eastAsia="zh-CN"/>
        </w:rPr>
        <w:t>99.73</w:t>
      </w:r>
      <w:r>
        <w:rPr>
          <w:rFonts w:hint="eastAsia" w:ascii="仿宋" w:hAnsi="仿宋" w:eastAsia="仿宋" w:cs="仿宋"/>
          <w:kern w:val="0"/>
          <w:sz w:val="30"/>
          <w:szCs w:val="30"/>
        </w:rPr>
        <w:t>%。该项目的经费在202</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年保障了检察工作的正常开展，提供了业务的工作所需，保障了干警的出差办案、日常提高了案件受理率及办案时效，更进一步提高干警满意度，也保证业务经费合理分配有效运用。发现的主要问题及原因：个别绩效指标设定不具体、不全面、不完整、完成有困难</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下一步改进措施</w:t>
      </w:r>
      <w:r>
        <w:rPr>
          <w:rFonts w:hint="eastAsia" w:ascii="仿宋" w:hAnsi="仿宋" w:eastAsia="仿宋" w:cs="仿宋"/>
          <w:kern w:val="0"/>
          <w:sz w:val="30"/>
          <w:szCs w:val="30"/>
        </w:rPr>
        <w:t>：科学合理的设定绩效指标值及绩效项目更加全面有效设置</w:t>
      </w:r>
      <w:r>
        <w:rPr>
          <w:rFonts w:hint="eastAsia" w:ascii="仿宋" w:hAnsi="仿宋" w:eastAsia="仿宋" w:cs="仿宋"/>
          <w:kern w:val="0"/>
          <w:sz w:val="30"/>
          <w:szCs w:val="30"/>
          <w:lang w:eastAsia="zh-CN"/>
        </w:rPr>
        <w:t>。</w:t>
      </w:r>
    </w:p>
    <w:p>
      <w:pPr>
        <w:widowControl/>
        <w:spacing w:before="240" w:after="240"/>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widowControl/>
        <w:spacing w:before="240" w:after="240"/>
        <w:rPr>
          <w:rFonts w:ascii="仿宋_GB2312" w:hAnsi="仿宋_GB2312" w:eastAsia="仿宋_GB2312" w:cs="仿宋_GB2312"/>
          <w:color w:val="0E00FE"/>
          <w:kern w:val="0"/>
          <w:sz w:val="27"/>
          <w:szCs w:val="27"/>
        </w:rPr>
      </w:pPr>
      <w:r>
        <w:rPr>
          <w:rFonts w:ascii="仿宋_GB2312" w:hAnsi="仿宋_GB2312" w:eastAsia="仿宋_GB2312" w:cs="仿宋_GB2312"/>
          <w:color w:val="0E00FE"/>
          <w:kern w:val="0"/>
          <w:sz w:val="27"/>
          <w:szCs w:val="27"/>
        </w:rPr>
        <w:t> </w:t>
      </w:r>
    </w:p>
    <w:p>
      <w:pPr>
        <w:pStyle w:val="2"/>
      </w:pPr>
    </w:p>
    <w:tbl>
      <w:tblPr>
        <w:tblStyle w:val="20"/>
        <w:tblW w:w="11708" w:type="dxa"/>
        <w:tblInd w:w="-8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2"/>
        <w:gridCol w:w="876"/>
        <w:gridCol w:w="1144"/>
        <w:gridCol w:w="365"/>
        <w:gridCol w:w="829"/>
        <w:gridCol w:w="694"/>
        <w:gridCol w:w="367"/>
        <w:gridCol w:w="941"/>
        <w:gridCol w:w="139"/>
        <w:gridCol w:w="686"/>
        <w:gridCol w:w="139"/>
        <w:gridCol w:w="686"/>
        <w:gridCol w:w="139"/>
        <w:gridCol w:w="750"/>
        <w:gridCol w:w="735"/>
        <w:gridCol w:w="735"/>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1708" w:type="dxa"/>
            <w:gridSpan w:val="17"/>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bookmarkStart w:id="1" w:name="_GoBack"/>
            <w:bookmarkEnd w:id="1"/>
            <w:r>
              <w:rPr>
                <w:rFonts w:hint="eastAsia" w:ascii="宋体" w:hAnsi="宋体" w:eastAsia="宋体" w:cs="宋体"/>
                <w:b/>
                <w:bCs/>
                <w:i w:val="0"/>
                <w:iCs w:val="0"/>
                <w:color w:val="000000"/>
                <w:kern w:val="0"/>
                <w:sz w:val="13"/>
                <w:szCs w:val="13"/>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 w:hRule="atLeast"/>
        </w:trPr>
        <w:tc>
          <w:tcPr>
            <w:tcW w:w="11708" w:type="dxa"/>
            <w:gridSpan w:val="1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项目名称</w:t>
            </w:r>
          </w:p>
        </w:tc>
        <w:tc>
          <w:tcPr>
            <w:tcW w:w="10756" w:type="dxa"/>
            <w:gridSpan w:val="16"/>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业务装备经费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主管部门</w:t>
            </w:r>
          </w:p>
        </w:tc>
        <w:tc>
          <w:tcPr>
            <w:tcW w:w="5216" w:type="dxa"/>
            <w:gridSpan w:val="7"/>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化德县人民检察院部门</w:t>
            </w:r>
          </w:p>
        </w:tc>
        <w:tc>
          <w:tcPr>
            <w:tcW w:w="1650" w:type="dxa"/>
            <w:gridSpan w:val="4"/>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实施单位</w:t>
            </w:r>
          </w:p>
        </w:tc>
        <w:tc>
          <w:tcPr>
            <w:tcW w:w="3890" w:type="dxa"/>
            <w:gridSpan w:val="5"/>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化德县人民检察院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trPr>
        <w:tc>
          <w:tcPr>
            <w:tcW w:w="95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项目资金</w:t>
            </w:r>
          </w:p>
        </w:tc>
        <w:tc>
          <w:tcPr>
            <w:tcW w:w="2020" w:type="dxa"/>
            <w:gridSpan w:val="2"/>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13"/>
                <w:szCs w:val="13"/>
                <w:u w:val="none"/>
              </w:rPr>
            </w:pPr>
          </w:p>
        </w:tc>
        <w:tc>
          <w:tcPr>
            <w:tcW w:w="1194"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年初预算数</w:t>
            </w:r>
          </w:p>
        </w:tc>
        <w:tc>
          <w:tcPr>
            <w:tcW w:w="2002"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全年预算数</w:t>
            </w:r>
          </w:p>
        </w:tc>
        <w:tc>
          <w:tcPr>
            <w:tcW w:w="1650" w:type="dxa"/>
            <w:gridSpan w:val="4"/>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全年执行数</w:t>
            </w:r>
          </w:p>
        </w:tc>
        <w:tc>
          <w:tcPr>
            <w:tcW w:w="889"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分值</w:t>
            </w:r>
          </w:p>
        </w:tc>
        <w:tc>
          <w:tcPr>
            <w:tcW w:w="147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执行率（%）</w:t>
            </w:r>
          </w:p>
        </w:tc>
        <w:tc>
          <w:tcPr>
            <w:tcW w:w="1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2" w:hRule="atLeast"/>
        </w:trPr>
        <w:tc>
          <w:tcPr>
            <w:tcW w:w="95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（万元）</w:t>
            </w:r>
          </w:p>
        </w:tc>
        <w:tc>
          <w:tcPr>
            <w:tcW w:w="202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年度资金总额</w:t>
            </w:r>
          </w:p>
        </w:tc>
        <w:tc>
          <w:tcPr>
            <w:tcW w:w="1194"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163.47</w:t>
            </w:r>
          </w:p>
        </w:tc>
        <w:tc>
          <w:tcPr>
            <w:tcW w:w="2002"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187.47</w:t>
            </w:r>
          </w:p>
        </w:tc>
        <w:tc>
          <w:tcPr>
            <w:tcW w:w="1650"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186.96</w:t>
            </w:r>
          </w:p>
        </w:tc>
        <w:tc>
          <w:tcPr>
            <w:tcW w:w="88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47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99.73</w:t>
            </w:r>
          </w:p>
        </w:tc>
        <w:tc>
          <w:tcPr>
            <w:tcW w:w="15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952"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13"/>
                <w:szCs w:val="13"/>
                <w:u w:val="none"/>
              </w:rPr>
            </w:pPr>
          </w:p>
        </w:tc>
        <w:tc>
          <w:tcPr>
            <w:tcW w:w="202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其中：财政拨款</w:t>
            </w:r>
          </w:p>
        </w:tc>
        <w:tc>
          <w:tcPr>
            <w:tcW w:w="1194"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163.47</w:t>
            </w:r>
          </w:p>
        </w:tc>
        <w:tc>
          <w:tcPr>
            <w:tcW w:w="2002"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187.47</w:t>
            </w:r>
          </w:p>
        </w:tc>
        <w:tc>
          <w:tcPr>
            <w:tcW w:w="1650"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186.96</w:t>
            </w:r>
          </w:p>
        </w:tc>
        <w:tc>
          <w:tcPr>
            <w:tcW w:w="88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22222"/>
                <w:sz w:val="13"/>
                <w:szCs w:val="13"/>
                <w:u w:val="none"/>
              </w:rPr>
            </w:pPr>
            <w:r>
              <w:rPr>
                <w:rFonts w:hint="eastAsia" w:ascii="宋体" w:hAnsi="宋体" w:eastAsia="宋体" w:cs="宋体"/>
                <w:i w:val="0"/>
                <w:iCs w:val="0"/>
                <w:color w:val="222222"/>
                <w:kern w:val="0"/>
                <w:sz w:val="13"/>
                <w:szCs w:val="13"/>
                <w:u w:val="none"/>
                <w:lang w:val="en-US" w:eastAsia="zh-CN" w:bidi="ar"/>
              </w:rPr>
              <w:t>——</w:t>
            </w:r>
          </w:p>
        </w:tc>
        <w:tc>
          <w:tcPr>
            <w:tcW w:w="147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99.73</w:t>
            </w:r>
          </w:p>
        </w:tc>
        <w:tc>
          <w:tcPr>
            <w:tcW w:w="15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22222"/>
                <w:sz w:val="13"/>
                <w:szCs w:val="13"/>
                <w:u w:val="none"/>
              </w:rPr>
            </w:pPr>
            <w:r>
              <w:rPr>
                <w:rFonts w:hint="eastAsia" w:ascii="宋体" w:hAnsi="宋体" w:eastAsia="宋体" w:cs="宋体"/>
                <w:i w:val="0"/>
                <w:iCs w:val="0"/>
                <w:color w:val="222222"/>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952"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13"/>
                <w:szCs w:val="13"/>
                <w:u w:val="none"/>
              </w:rPr>
            </w:pPr>
          </w:p>
        </w:tc>
        <w:tc>
          <w:tcPr>
            <w:tcW w:w="202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上年结转资金</w:t>
            </w:r>
          </w:p>
        </w:tc>
        <w:tc>
          <w:tcPr>
            <w:tcW w:w="1194" w:type="dxa"/>
            <w:gridSpan w:val="2"/>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13"/>
                <w:szCs w:val="13"/>
                <w:u w:val="none"/>
              </w:rPr>
            </w:pPr>
          </w:p>
        </w:tc>
        <w:tc>
          <w:tcPr>
            <w:tcW w:w="2002" w:type="dxa"/>
            <w:gridSpan w:val="3"/>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650" w:type="dxa"/>
            <w:gridSpan w:val="4"/>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8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22222"/>
                <w:sz w:val="13"/>
                <w:szCs w:val="13"/>
                <w:u w:val="none"/>
              </w:rPr>
            </w:pPr>
            <w:r>
              <w:rPr>
                <w:rFonts w:hint="eastAsia" w:ascii="宋体" w:hAnsi="宋体" w:eastAsia="宋体" w:cs="宋体"/>
                <w:i w:val="0"/>
                <w:iCs w:val="0"/>
                <w:color w:val="222222"/>
                <w:kern w:val="0"/>
                <w:sz w:val="13"/>
                <w:szCs w:val="13"/>
                <w:u w:val="none"/>
                <w:lang w:val="en-US" w:eastAsia="zh-CN" w:bidi="ar"/>
              </w:rPr>
              <w:t>——</w:t>
            </w:r>
          </w:p>
        </w:tc>
        <w:tc>
          <w:tcPr>
            <w:tcW w:w="1470" w:type="dxa"/>
            <w:gridSpan w:val="2"/>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22222"/>
                <w:sz w:val="13"/>
                <w:szCs w:val="13"/>
                <w:u w:val="none"/>
              </w:rPr>
            </w:pPr>
            <w:r>
              <w:rPr>
                <w:rFonts w:hint="eastAsia" w:ascii="宋体" w:hAnsi="宋体" w:eastAsia="宋体" w:cs="宋体"/>
                <w:i w:val="0"/>
                <w:iCs w:val="0"/>
                <w:color w:val="222222"/>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8" w:hRule="atLeast"/>
        </w:trPr>
        <w:tc>
          <w:tcPr>
            <w:tcW w:w="952"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13"/>
                <w:szCs w:val="13"/>
                <w:u w:val="none"/>
              </w:rPr>
            </w:pPr>
          </w:p>
        </w:tc>
        <w:tc>
          <w:tcPr>
            <w:tcW w:w="202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其他资金</w:t>
            </w:r>
          </w:p>
        </w:tc>
        <w:tc>
          <w:tcPr>
            <w:tcW w:w="1194"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2002"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1650"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88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22222"/>
                <w:sz w:val="13"/>
                <w:szCs w:val="13"/>
                <w:u w:val="none"/>
              </w:rPr>
            </w:pPr>
            <w:r>
              <w:rPr>
                <w:rFonts w:hint="eastAsia" w:ascii="宋体" w:hAnsi="宋体" w:eastAsia="宋体" w:cs="宋体"/>
                <w:i w:val="0"/>
                <w:iCs w:val="0"/>
                <w:color w:val="222222"/>
                <w:kern w:val="0"/>
                <w:sz w:val="13"/>
                <w:szCs w:val="13"/>
                <w:u w:val="none"/>
                <w:lang w:val="en-US" w:eastAsia="zh-CN" w:bidi="ar"/>
              </w:rPr>
              <w:t>——</w:t>
            </w:r>
          </w:p>
        </w:tc>
        <w:tc>
          <w:tcPr>
            <w:tcW w:w="147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15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22222"/>
                <w:sz w:val="13"/>
                <w:szCs w:val="13"/>
                <w:u w:val="none"/>
              </w:rPr>
            </w:pPr>
            <w:r>
              <w:rPr>
                <w:rFonts w:hint="eastAsia" w:ascii="宋体" w:hAnsi="宋体" w:eastAsia="宋体" w:cs="宋体"/>
                <w:i w:val="0"/>
                <w:iCs w:val="0"/>
                <w:color w:val="222222"/>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年度总体目标</w:t>
            </w:r>
          </w:p>
        </w:tc>
        <w:tc>
          <w:tcPr>
            <w:tcW w:w="6041" w:type="dxa"/>
            <w:gridSpan w:val="9"/>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预期目标</w:t>
            </w:r>
          </w:p>
        </w:tc>
        <w:tc>
          <w:tcPr>
            <w:tcW w:w="4715" w:type="dxa"/>
            <w:gridSpan w:val="7"/>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6041" w:type="dxa"/>
            <w:gridSpan w:val="9"/>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障2024年本部门检察工作正常开展所需的各种办案设备和信息化设备的购置及升级，确保检察职能正常发挥。我院将按照合同，政府采购的要求，采购业务装备大于20台用于人民检察院业务能力提升，推动人民检察院业务装备建设的标准化、规范化配置。</w:t>
            </w:r>
          </w:p>
        </w:tc>
        <w:tc>
          <w:tcPr>
            <w:tcW w:w="4715" w:type="dxa"/>
            <w:gridSpan w:val="7"/>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实现年初设定预期目标，对本单位开展检察业务所需的各种办案设备和信息化设备进行了购置与升级，保证了本单位正常履行检察职能。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绩效指标</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一级指标</w:t>
            </w:r>
          </w:p>
        </w:tc>
        <w:tc>
          <w:tcPr>
            <w:tcW w:w="150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二级指标</w:t>
            </w:r>
          </w:p>
        </w:tc>
        <w:tc>
          <w:tcPr>
            <w:tcW w:w="1523"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三级指标</w:t>
            </w:r>
          </w:p>
        </w:tc>
        <w:tc>
          <w:tcPr>
            <w:tcW w:w="3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指标性质</w:t>
            </w:r>
          </w:p>
        </w:tc>
        <w:tc>
          <w:tcPr>
            <w:tcW w:w="108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指标方向</w:t>
            </w:r>
          </w:p>
        </w:tc>
        <w:tc>
          <w:tcPr>
            <w:tcW w:w="825"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年度指标值</w:t>
            </w:r>
          </w:p>
        </w:tc>
        <w:tc>
          <w:tcPr>
            <w:tcW w:w="825"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实际完成值</w:t>
            </w:r>
          </w:p>
        </w:tc>
        <w:tc>
          <w:tcPr>
            <w:tcW w:w="7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计量单位</w:t>
            </w:r>
          </w:p>
        </w:tc>
        <w:tc>
          <w:tcPr>
            <w:tcW w:w="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分值</w:t>
            </w:r>
          </w:p>
        </w:tc>
        <w:tc>
          <w:tcPr>
            <w:tcW w:w="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得分</w:t>
            </w:r>
          </w:p>
        </w:tc>
        <w:tc>
          <w:tcPr>
            <w:tcW w:w="1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952"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绩效指标</w:t>
            </w:r>
          </w:p>
        </w:tc>
        <w:tc>
          <w:tcPr>
            <w:tcW w:w="876"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1509" w:type="dxa"/>
            <w:gridSpan w:val="2"/>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1523"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装备采购数量</w:t>
            </w:r>
          </w:p>
        </w:tc>
        <w:tc>
          <w:tcPr>
            <w:tcW w:w="367"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正向</w:t>
            </w:r>
          </w:p>
        </w:tc>
        <w:tc>
          <w:tcPr>
            <w:tcW w:w="1080"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大于等于</w:t>
            </w:r>
          </w:p>
        </w:tc>
        <w:tc>
          <w:tcPr>
            <w:tcW w:w="82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82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17</w:t>
            </w:r>
          </w:p>
        </w:tc>
        <w:tc>
          <w:tcPr>
            <w:tcW w:w="75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台/件</w:t>
            </w:r>
          </w:p>
        </w:tc>
        <w:tc>
          <w:tcPr>
            <w:tcW w:w="73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3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1531" w:type="dxa"/>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2"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76"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09" w:type="dxa"/>
            <w:gridSpan w:val="2"/>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23"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合同订立个数</w:t>
            </w:r>
          </w:p>
        </w:tc>
        <w:tc>
          <w:tcPr>
            <w:tcW w:w="36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正向</w:t>
            </w:r>
          </w:p>
        </w:tc>
        <w:tc>
          <w:tcPr>
            <w:tcW w:w="1080"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大于等于</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75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个</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1531"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2"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76"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09" w:type="dxa"/>
            <w:gridSpan w:val="2"/>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质量指标</w:t>
            </w:r>
          </w:p>
        </w:tc>
        <w:tc>
          <w:tcPr>
            <w:tcW w:w="1523"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装备质量验收合格率</w:t>
            </w:r>
          </w:p>
        </w:tc>
        <w:tc>
          <w:tcPr>
            <w:tcW w:w="36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正向</w:t>
            </w:r>
          </w:p>
        </w:tc>
        <w:tc>
          <w:tcPr>
            <w:tcW w:w="1080"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大于等于</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5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531"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52"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76"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09"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23"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政府采购率</w:t>
            </w:r>
          </w:p>
        </w:tc>
        <w:tc>
          <w:tcPr>
            <w:tcW w:w="36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正向</w:t>
            </w:r>
          </w:p>
        </w:tc>
        <w:tc>
          <w:tcPr>
            <w:tcW w:w="1080"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大于等于</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70</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5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1531"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2"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76"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09" w:type="dxa"/>
            <w:gridSpan w:val="2"/>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时效指标</w:t>
            </w:r>
          </w:p>
        </w:tc>
        <w:tc>
          <w:tcPr>
            <w:tcW w:w="1523"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装备采购时间</w:t>
            </w:r>
          </w:p>
        </w:tc>
        <w:tc>
          <w:tcPr>
            <w:tcW w:w="36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反向</w:t>
            </w:r>
          </w:p>
        </w:tc>
        <w:tc>
          <w:tcPr>
            <w:tcW w:w="1080"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小于等于</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w:t>
            </w:r>
          </w:p>
        </w:tc>
        <w:tc>
          <w:tcPr>
            <w:tcW w:w="75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天</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1531"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52"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76"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09"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23"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合同支付及时率</w:t>
            </w:r>
          </w:p>
        </w:tc>
        <w:tc>
          <w:tcPr>
            <w:tcW w:w="36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正向</w:t>
            </w:r>
          </w:p>
        </w:tc>
        <w:tc>
          <w:tcPr>
            <w:tcW w:w="1080"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等于</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85</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5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1531"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8" w:hRule="atLeast"/>
        </w:trPr>
        <w:tc>
          <w:tcPr>
            <w:tcW w:w="952"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76"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09" w:type="dxa"/>
            <w:gridSpan w:val="2"/>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成本指标</w:t>
            </w:r>
          </w:p>
        </w:tc>
        <w:tc>
          <w:tcPr>
            <w:tcW w:w="1523"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装备采购支出成本</w:t>
            </w:r>
          </w:p>
        </w:tc>
        <w:tc>
          <w:tcPr>
            <w:tcW w:w="36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反向</w:t>
            </w:r>
          </w:p>
        </w:tc>
        <w:tc>
          <w:tcPr>
            <w:tcW w:w="1080"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小于等于</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3.4</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75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万元/台</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1531"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952"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76"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09"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23"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设备维护成本</w:t>
            </w:r>
          </w:p>
        </w:tc>
        <w:tc>
          <w:tcPr>
            <w:tcW w:w="36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反向</w:t>
            </w:r>
          </w:p>
        </w:tc>
        <w:tc>
          <w:tcPr>
            <w:tcW w:w="1080"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小于等于</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2000</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2000</w:t>
            </w:r>
          </w:p>
        </w:tc>
        <w:tc>
          <w:tcPr>
            <w:tcW w:w="75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元</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1531"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52"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76"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09"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23"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业务装备经费总成本</w:t>
            </w:r>
          </w:p>
        </w:tc>
        <w:tc>
          <w:tcPr>
            <w:tcW w:w="36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正向</w:t>
            </w:r>
          </w:p>
        </w:tc>
        <w:tc>
          <w:tcPr>
            <w:tcW w:w="1080"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等于</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68</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187.47</w:t>
            </w:r>
          </w:p>
        </w:tc>
        <w:tc>
          <w:tcPr>
            <w:tcW w:w="75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万元</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1531"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952"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76"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1509"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1523"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人民检察院业务能力</w:t>
            </w:r>
          </w:p>
        </w:tc>
        <w:tc>
          <w:tcPr>
            <w:tcW w:w="36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1080" w:type="dxa"/>
            <w:gridSpan w:val="2"/>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提高</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提高</w:t>
            </w:r>
          </w:p>
        </w:tc>
        <w:tc>
          <w:tcPr>
            <w:tcW w:w="750"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1531"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7" w:hRule="atLeast"/>
        </w:trPr>
        <w:tc>
          <w:tcPr>
            <w:tcW w:w="952"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76"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509"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可持续影响指标</w:t>
            </w:r>
          </w:p>
        </w:tc>
        <w:tc>
          <w:tcPr>
            <w:tcW w:w="1523"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推动人民检察院业务装备建设的标准化规范化配置</w:t>
            </w:r>
          </w:p>
        </w:tc>
        <w:tc>
          <w:tcPr>
            <w:tcW w:w="36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1080" w:type="dxa"/>
            <w:gridSpan w:val="2"/>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提高</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提高</w:t>
            </w:r>
          </w:p>
        </w:tc>
        <w:tc>
          <w:tcPr>
            <w:tcW w:w="750"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1531"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2"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76"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1509"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服务对象满意度指标</w:t>
            </w:r>
          </w:p>
        </w:tc>
        <w:tc>
          <w:tcPr>
            <w:tcW w:w="1523"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干警满意度</w:t>
            </w:r>
          </w:p>
        </w:tc>
        <w:tc>
          <w:tcPr>
            <w:tcW w:w="36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正向</w:t>
            </w:r>
          </w:p>
        </w:tc>
        <w:tc>
          <w:tcPr>
            <w:tcW w:w="1080"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大于等于</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82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75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531"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07" w:type="dxa"/>
            <w:gridSpan w:val="1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总分</w:t>
            </w:r>
          </w:p>
        </w:tc>
        <w:tc>
          <w:tcPr>
            <w:tcW w:w="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97.97</w:t>
            </w:r>
          </w:p>
        </w:tc>
        <w:tc>
          <w:tcPr>
            <w:tcW w:w="1531"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bl>
    <w:p>
      <w:pPr>
        <w:rPr>
          <w:rFonts w:ascii="Times New Roman" w:hAnsi="Times New Roman" w:eastAsia="Times New Roman" w:cs="Times New Roman"/>
          <w:kern w:val="0"/>
          <w:sz w:val="24"/>
        </w:rPr>
      </w:pPr>
      <w:r>
        <w:rPr>
          <w:rFonts w:hint="eastAsia" w:ascii="宋体" w:hAnsi="宋体" w:eastAsia="宋体" w:cs="宋体"/>
          <w:kern w:val="0"/>
          <w:sz w:val="15"/>
          <w:szCs w:val="15"/>
        </w:rPr>
        <w:br w:type="page"/>
      </w:r>
    </w:p>
    <w:p>
      <w:pPr>
        <w:pStyle w:val="2"/>
      </w:pP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pPr>
        <w:widowControl/>
        <w:spacing w:before="240" w:after="240"/>
        <w:rPr>
          <w:rFonts w:hint="eastAsia" w:ascii="仿宋" w:hAnsi="仿宋" w:eastAsia="仿宋" w:cs="仿宋"/>
          <w:kern w:val="0"/>
          <w:sz w:val="30"/>
          <w:szCs w:val="30"/>
        </w:rPr>
      </w:pPr>
      <w:r>
        <w:rPr>
          <w:rFonts w:hint="eastAsia" w:ascii="仿宋" w:hAnsi="仿宋" w:eastAsia="仿宋" w:cs="仿宋"/>
          <w:kern w:val="0"/>
          <w:sz w:val="30"/>
          <w:szCs w:val="30"/>
        </w:rPr>
        <w:t>    本年度未进行重点项目评价。</w:t>
      </w:r>
    </w:p>
    <w:p>
      <w:pPr>
        <w:widowControl/>
        <w:spacing w:before="240" w:after="240"/>
        <w:jc w:val="left"/>
        <w:rPr>
          <w:rFonts w:ascii="Times New Roman" w:hAnsi="Times New Roman" w:eastAsia="Times New Roman" w:cs="Times New Roman"/>
          <w:kern w:val="0"/>
          <w:sz w:val="24"/>
        </w:rPr>
      </w:pPr>
    </w:p>
    <w:p>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0"/>
          <w:szCs w:val="30"/>
        </w:rPr>
        <w:t>  一、财政拨款收入：</w:t>
      </w:r>
      <w:r>
        <w:rPr>
          <w:rFonts w:ascii="仿宋_GB2312" w:hAnsi="仿宋_GB2312" w:eastAsia="仿宋_GB2312" w:cs="仿宋_GB2312"/>
          <w:kern w:val="0"/>
          <w:sz w:val="30"/>
          <w:szCs w:val="30"/>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二、上级补助收入：</w:t>
      </w:r>
      <w:r>
        <w:rPr>
          <w:rFonts w:ascii="仿宋_GB2312" w:hAnsi="仿宋_GB2312" w:eastAsia="仿宋_GB2312" w:cs="仿宋_GB2312"/>
          <w:kern w:val="0"/>
          <w:sz w:val="30"/>
          <w:szCs w:val="30"/>
        </w:rPr>
        <w:t>指事业单位从主管部门和上级单位取得的非财政补助收入。</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三、财政专户管理教育收费：</w:t>
      </w:r>
      <w:r>
        <w:rPr>
          <w:rFonts w:ascii="仿宋_GB2312" w:hAnsi="仿宋_GB2312" w:eastAsia="仿宋_GB2312" w:cs="仿宋_GB2312"/>
          <w:kern w:val="0"/>
          <w:sz w:val="30"/>
          <w:szCs w:val="30"/>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四、事业收入：</w:t>
      </w:r>
      <w:r>
        <w:rPr>
          <w:rFonts w:ascii="仿宋_GB2312" w:hAnsi="仿宋_GB2312" w:eastAsia="仿宋_GB2312" w:cs="仿宋_GB2312"/>
          <w:kern w:val="0"/>
          <w:sz w:val="30"/>
          <w:szCs w:val="30"/>
        </w:rPr>
        <w:t>指事业单位开展专业业务活动及其辅助活动取得的收入。</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五、经营收入：</w:t>
      </w:r>
      <w:r>
        <w:rPr>
          <w:rFonts w:ascii="仿宋_GB2312" w:hAnsi="仿宋_GB2312" w:eastAsia="仿宋_GB2312" w:cs="仿宋_GB2312"/>
          <w:kern w:val="0"/>
          <w:sz w:val="30"/>
          <w:szCs w:val="30"/>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六、附属单位上缴收入：</w:t>
      </w:r>
      <w:r>
        <w:rPr>
          <w:rFonts w:ascii="仿宋_GB2312" w:hAnsi="仿宋_GB2312" w:eastAsia="仿宋_GB2312" w:cs="仿宋_GB2312"/>
          <w:kern w:val="0"/>
          <w:sz w:val="30"/>
          <w:szCs w:val="30"/>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七、其他收入：</w:t>
      </w:r>
      <w:r>
        <w:rPr>
          <w:rFonts w:ascii="仿宋_GB2312" w:hAnsi="仿宋_GB2312" w:eastAsia="仿宋_GB2312" w:cs="仿宋_GB2312"/>
          <w:kern w:val="0"/>
          <w:sz w:val="30"/>
          <w:szCs w:val="30"/>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八、使用非财政拨款结余（含专用结余）：</w:t>
      </w:r>
      <w:r>
        <w:rPr>
          <w:rFonts w:ascii="仿宋_GB2312" w:hAnsi="仿宋_GB2312" w:eastAsia="仿宋_GB2312" w:cs="仿宋_GB2312"/>
          <w:kern w:val="0"/>
          <w:sz w:val="30"/>
          <w:szCs w:val="30"/>
        </w:rPr>
        <w:t>指事业单位按照预算管理要求使用非财政拨款结余</w:t>
      </w:r>
      <w:r>
        <w:rPr>
          <w:rFonts w:ascii="仿宋_GB2312" w:hAnsi="仿宋_GB2312" w:eastAsia="仿宋_GB2312" w:cs="仿宋_GB2312"/>
          <w:color w:val="000000"/>
          <w:kern w:val="0"/>
          <w:sz w:val="30"/>
          <w:szCs w:val="30"/>
        </w:rPr>
        <w:t>弥补收支差额的金额，以及使用专用结余安排支出的金额。</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九、年初结转和结余：</w:t>
      </w:r>
      <w:r>
        <w:rPr>
          <w:rFonts w:ascii="仿宋_GB2312" w:hAnsi="仿宋_GB2312" w:eastAsia="仿宋_GB2312" w:cs="仿宋_GB2312"/>
          <w:kern w:val="0"/>
          <w:sz w:val="30"/>
          <w:szCs w:val="30"/>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十、结余分配：</w:t>
      </w:r>
      <w:r>
        <w:rPr>
          <w:rFonts w:ascii="仿宋_GB2312" w:hAnsi="仿宋_GB2312" w:eastAsia="仿宋_GB2312" w:cs="仿宋_GB2312"/>
          <w:kern w:val="0"/>
          <w:sz w:val="30"/>
          <w:szCs w:val="30"/>
        </w:rPr>
        <w:t>指单位按规定缴纳企业所得税以及从非财政拨款结余或经营结余中提取各类结余的情况。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十一、年末结转和结余资金：</w:t>
      </w:r>
      <w:r>
        <w:rPr>
          <w:rFonts w:ascii="仿宋_GB2312" w:hAnsi="仿宋_GB2312" w:eastAsia="仿宋_GB2312" w:cs="仿宋_GB2312"/>
          <w:kern w:val="0"/>
          <w:sz w:val="30"/>
          <w:szCs w:val="30"/>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十二、基本支出：</w:t>
      </w:r>
      <w:r>
        <w:rPr>
          <w:rFonts w:ascii="仿宋_GB2312" w:hAnsi="仿宋_GB2312" w:eastAsia="仿宋_GB2312" w:cs="仿宋_GB2312"/>
          <w:kern w:val="0"/>
          <w:sz w:val="30"/>
          <w:szCs w:val="30"/>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十三、项目支出：</w:t>
      </w:r>
      <w:r>
        <w:rPr>
          <w:rFonts w:ascii="仿宋_GB2312" w:hAnsi="仿宋_GB2312" w:eastAsia="仿宋_GB2312" w:cs="仿宋_GB2312"/>
          <w:kern w:val="0"/>
          <w:sz w:val="30"/>
          <w:szCs w:val="30"/>
        </w:rPr>
        <w:t>指在为完成特定的行政工作任务或事业发展目标所发生的支出。</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十四、上缴上级支出：</w:t>
      </w:r>
      <w:r>
        <w:rPr>
          <w:rFonts w:ascii="仿宋_GB2312" w:hAnsi="仿宋_GB2312" w:eastAsia="仿宋_GB2312" w:cs="仿宋_GB2312"/>
          <w:kern w:val="0"/>
          <w:sz w:val="30"/>
          <w:szCs w:val="30"/>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十五、经营支出：</w:t>
      </w:r>
      <w:r>
        <w:rPr>
          <w:rFonts w:ascii="仿宋_GB2312" w:hAnsi="仿宋_GB2312" w:eastAsia="仿宋_GB2312" w:cs="仿宋_GB2312"/>
          <w:kern w:val="0"/>
          <w:sz w:val="30"/>
          <w:szCs w:val="30"/>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十六、对附属单位补助支出：</w:t>
      </w:r>
      <w:r>
        <w:rPr>
          <w:rFonts w:ascii="仿宋_GB2312" w:hAnsi="仿宋_GB2312" w:eastAsia="仿宋_GB2312" w:cs="仿宋_GB2312"/>
          <w:kern w:val="0"/>
          <w:sz w:val="30"/>
          <w:szCs w:val="30"/>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十七、“三公”经费：</w:t>
      </w:r>
      <w:r>
        <w:rPr>
          <w:rFonts w:ascii="仿宋_GB2312" w:hAnsi="仿宋_GB2312" w:eastAsia="仿宋_GB2312" w:cs="仿宋_GB2312"/>
          <w:kern w:val="0"/>
          <w:sz w:val="30"/>
          <w:szCs w:val="30"/>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30"/>
          <w:szCs w:val="30"/>
        </w:rPr>
      </w:pPr>
      <w:r>
        <w:rPr>
          <w:rFonts w:ascii="仿宋_GB2312" w:hAnsi="仿宋_GB2312" w:eastAsia="仿宋_GB2312" w:cs="仿宋_GB2312"/>
          <w:b/>
          <w:bCs/>
          <w:kern w:val="0"/>
          <w:sz w:val="30"/>
          <w:szCs w:val="30"/>
        </w:rPr>
        <w:t>    十八、机关运行经费：</w:t>
      </w:r>
      <w:r>
        <w:rPr>
          <w:rFonts w:ascii="仿宋_GB2312" w:hAnsi="仿宋_GB2312" w:eastAsia="仿宋_GB2312" w:cs="仿宋_GB2312"/>
          <w:color w:val="000000"/>
          <w:kern w:val="0"/>
          <w:sz w:val="30"/>
          <w:szCs w:val="30"/>
        </w:rPr>
        <w:t>指行政单位和参照公务员法管理的事业单位财政拨款</w:t>
      </w:r>
      <w:r>
        <w:rPr>
          <w:rFonts w:ascii="仿宋_GB2312" w:hAnsi="仿宋_GB2312" w:eastAsia="仿宋_GB2312" w:cs="仿宋_GB2312"/>
          <w:kern w:val="0"/>
          <w:sz w:val="30"/>
          <w:szCs w:val="30"/>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pPr>
        <w:pStyle w:val="5"/>
        <w:keepNext w:val="0"/>
        <w:keepLines w:val="0"/>
        <w:widowControl/>
        <w:spacing w:before="299" w:after="299" w:line="240" w:lineRule="auto"/>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常艳华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0474-7907</w:t>
      </w:r>
      <w:r>
        <w:rPr>
          <w:rFonts w:hint="eastAsia" w:ascii="仿宋_GB2312" w:hAnsi="仿宋_GB2312" w:eastAsia="仿宋_GB2312" w:cs="仿宋_GB2312"/>
          <w:kern w:val="0"/>
          <w:sz w:val="27"/>
          <w:szCs w:val="27"/>
          <w:u w:val="single"/>
          <w:lang w:val="en-US" w:eastAsia="zh-CN"/>
        </w:rPr>
        <w:t>907</w:t>
      </w:r>
    </w:p>
    <w:p>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5"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ai_ti_gb2312">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25</w:t>
    </w:r>
    <w:r>
      <w:rPr>
        <w:lang w:val="zh-CN"/>
      </w:rP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MjVkNmQ2ODk1ZWU3MDFiYzI2ZGUwYjNiZjEyNmI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446FB"/>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3411FB9"/>
    <w:rsid w:val="08896684"/>
    <w:rsid w:val="0C341D69"/>
    <w:rsid w:val="0D9B53CF"/>
    <w:rsid w:val="0E4742D5"/>
    <w:rsid w:val="1135377C"/>
    <w:rsid w:val="11877DFA"/>
    <w:rsid w:val="12BD38CE"/>
    <w:rsid w:val="15464875"/>
    <w:rsid w:val="18892320"/>
    <w:rsid w:val="18CE2C10"/>
    <w:rsid w:val="1D2D6FEF"/>
    <w:rsid w:val="1D3222D8"/>
    <w:rsid w:val="224B2972"/>
    <w:rsid w:val="24BE41DB"/>
    <w:rsid w:val="26707A82"/>
    <w:rsid w:val="33C97BFB"/>
    <w:rsid w:val="346A6D13"/>
    <w:rsid w:val="35661288"/>
    <w:rsid w:val="38314D5D"/>
    <w:rsid w:val="3FB451AA"/>
    <w:rsid w:val="41BF089E"/>
    <w:rsid w:val="4201256B"/>
    <w:rsid w:val="4217046F"/>
    <w:rsid w:val="462246F1"/>
    <w:rsid w:val="4C7D1058"/>
    <w:rsid w:val="4D58742D"/>
    <w:rsid w:val="4DE85206"/>
    <w:rsid w:val="50CE76FD"/>
    <w:rsid w:val="51CD438B"/>
    <w:rsid w:val="51FD2263"/>
    <w:rsid w:val="53F04BF1"/>
    <w:rsid w:val="5489130D"/>
    <w:rsid w:val="5AE1122D"/>
    <w:rsid w:val="6055482C"/>
    <w:rsid w:val="60CE6005"/>
    <w:rsid w:val="617B7D26"/>
    <w:rsid w:val="66485DC8"/>
    <w:rsid w:val="66632DC6"/>
    <w:rsid w:val="6EEA0DFB"/>
    <w:rsid w:val="710603CB"/>
    <w:rsid w:val="720F27CE"/>
    <w:rsid w:val="73B72B30"/>
    <w:rsid w:val="78442354"/>
    <w:rsid w:val="7BB56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9"/>
    <w:qFormat/>
    <w:uiPriority w:val="0"/>
    <w:pPr>
      <w:keepNext/>
      <w:keepLines/>
      <w:spacing w:before="260" w:after="260" w:line="416" w:lineRule="auto"/>
      <w:outlineLvl w:val="2"/>
    </w:pPr>
    <w:rPr>
      <w:b/>
      <w:bCs/>
      <w:sz w:val="32"/>
      <w:szCs w:val="32"/>
    </w:rPr>
  </w:style>
  <w:style w:type="paragraph" w:styleId="7">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before="0" w:beforeAutospacing="0" w:after="120" w:afterAutospacing="0"/>
      <w:ind w:left="420" w:leftChars="200" w:right="0" w:firstLine="420"/>
      <w:jc w:val="left"/>
    </w:pPr>
    <w:rPr>
      <w:rFonts w:hint="eastAsia" w:ascii="宋体" w:hAnsi="宋体" w:eastAsia="宋体" w:cs="宋体"/>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8">
    <w:name w:val="toc 7"/>
    <w:basedOn w:val="1"/>
    <w:next w:val="1"/>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qFormat/>
    <w:uiPriority w:val="0"/>
    <w:pPr>
      <w:ind w:left="840"/>
      <w:jc w:val="left"/>
    </w:pPr>
    <w:rPr>
      <w:sz w:val="20"/>
      <w:szCs w:val="20"/>
    </w:rPr>
  </w:style>
  <w:style w:type="paragraph" w:styleId="11">
    <w:name w:val="toc 3"/>
    <w:basedOn w:val="1"/>
    <w:next w:val="1"/>
    <w:uiPriority w:val="0"/>
    <w:pPr>
      <w:adjustRightInd w:val="0"/>
      <w:snapToGrid w:val="0"/>
      <w:spacing w:line="360" w:lineRule="auto"/>
      <w:ind w:firstLine="400" w:firstLineChars="400"/>
      <w:jc w:val="left"/>
    </w:pPr>
    <w:rPr>
      <w:sz w:val="24"/>
      <w:szCs w:val="20"/>
    </w:rPr>
  </w:style>
  <w:style w:type="paragraph" w:styleId="12">
    <w:name w:val="toc 8"/>
    <w:basedOn w:val="1"/>
    <w:next w:val="1"/>
    <w:qFormat/>
    <w:uiPriority w:val="0"/>
    <w:pPr>
      <w:ind w:left="1470"/>
      <w:jc w:val="left"/>
    </w:pPr>
    <w:rPr>
      <w:sz w:val="20"/>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qFormat/>
    <w:uiPriority w:val="0"/>
    <w:pPr>
      <w:ind w:left="630"/>
      <w:jc w:val="left"/>
    </w:pPr>
    <w:rPr>
      <w:sz w:val="20"/>
      <w:szCs w:val="20"/>
    </w:rPr>
  </w:style>
  <w:style w:type="paragraph" w:styleId="17">
    <w:name w:val="toc 6"/>
    <w:basedOn w:val="1"/>
    <w:next w:val="1"/>
    <w:qFormat/>
    <w:uiPriority w:val="0"/>
    <w:pPr>
      <w:ind w:left="1050"/>
      <w:jc w:val="left"/>
    </w:pPr>
    <w:rPr>
      <w:sz w:val="20"/>
      <w:szCs w:val="20"/>
    </w:rPr>
  </w:style>
  <w:style w:type="paragraph" w:styleId="18">
    <w:name w:val="toc 2"/>
    <w:basedOn w:val="1"/>
    <w:next w:val="1"/>
    <w:uiPriority w:val="0"/>
    <w:pPr>
      <w:adjustRightInd w:val="0"/>
      <w:snapToGrid w:val="0"/>
      <w:spacing w:line="360" w:lineRule="auto"/>
      <w:ind w:firstLine="200" w:firstLineChars="200"/>
      <w:jc w:val="left"/>
    </w:pPr>
    <w:rPr>
      <w:iCs/>
      <w:sz w:val="24"/>
      <w:szCs w:val="20"/>
    </w:rPr>
  </w:style>
  <w:style w:type="paragraph" w:styleId="19">
    <w:name w:val="toc 9"/>
    <w:basedOn w:val="1"/>
    <w:next w:val="1"/>
    <w:qFormat/>
    <w:uiPriority w:val="0"/>
    <w:pPr>
      <w:ind w:left="1680"/>
      <w:jc w:val="left"/>
    </w:pPr>
    <w:rPr>
      <w:sz w:val="20"/>
      <w:szCs w:val="20"/>
    </w:rPr>
  </w:style>
  <w:style w:type="character" w:styleId="22">
    <w:name w:val="page number"/>
    <w:basedOn w:val="21"/>
    <w:uiPriority w:val="0"/>
  </w:style>
  <w:style w:type="character" w:styleId="23">
    <w:name w:val="Hyperlink"/>
    <w:basedOn w:val="21"/>
    <w:qFormat/>
    <w:uiPriority w:val="0"/>
    <w:rPr>
      <w:color w:val="0000FF"/>
      <w:u w:val="single"/>
    </w:rPr>
  </w:style>
  <w:style w:type="character" w:customStyle="1" w:styleId="24">
    <w:name w:val="标题 4 Char"/>
    <w:basedOn w:val="21"/>
    <w:link w:val="7"/>
    <w:qFormat/>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Char"/>
    <w:link w:val="25"/>
    <w:qFormat/>
    <w:locked/>
    <w:uiPriority w:val="0"/>
    <w:rPr>
      <w:rFonts w:eastAsia="仿宋_GB2312"/>
      <w:sz w:val="30"/>
      <w:szCs w:val="22"/>
      <w:lang w:bidi="ar-SA"/>
    </w:rPr>
  </w:style>
  <w:style w:type="character" w:customStyle="1" w:styleId="27">
    <w:name w:val="页脚 Char"/>
    <w:basedOn w:val="21"/>
    <w:link w:val="13"/>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Char"/>
    <w:basedOn w:val="21"/>
    <w:link w:val="6"/>
    <w:qFormat/>
    <w:uiPriority w:val="0"/>
    <w:rPr>
      <w:b/>
      <w:bCs/>
      <w:kern w:val="2"/>
      <w:sz w:val="32"/>
      <w:szCs w:val="32"/>
    </w:rPr>
  </w:style>
  <w:style w:type="paragraph" w:customStyle="1" w:styleId="30">
    <w:name w:val="MsoNormal"/>
    <w:basedOn w:val="1"/>
    <w:qFormat/>
    <w:uiPriority w:val="0"/>
  </w:style>
  <w:style w:type="character" w:customStyle="1" w:styleId="31">
    <w:name w:val="font31"/>
    <w:basedOn w:val="21"/>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9529</Words>
  <Characters>10442</Characters>
  <Lines>1</Lines>
  <Paragraphs>1</Paragraphs>
  <TotalTime>14</TotalTime>
  <ScaleCrop>false</ScaleCrop>
  <LinksUpToDate>false</LinksUpToDate>
  <CharactersWithSpaces>11080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cp:lastModifiedBy>
  <cp:lastPrinted>2025-08-12T08:18:00Z</cp:lastPrinted>
  <dcterms:modified xsi:type="dcterms:W3CDTF">2025-08-12T11:02:44Z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D28BE49F00C54F81B8BAF2409DB46E3C</vt:lpwstr>
  </property>
  <property fmtid="{D5CDD505-2E9C-101B-9397-08002B2CF9AE}" pid="3" name="KSOProductBuildVer">
    <vt:lpwstr>2052-11.1.0.13703</vt:lpwstr>
  </property>
  <property fmtid="{D5CDD505-2E9C-101B-9397-08002B2CF9AE}" pid="4" name="KSOTemplateDocerSaveRecord">
    <vt:lpwstr>eyJoZGlkIjoiN2YzNjBkOTgyNWQ1YTMxYzM3MzMwNWFiODNmOWIzYWMiLCJ1c2VySWQiOiI4MDUyMTE2MjkifQ==</vt:lpwstr>
  </property>
</Properties>
</file>